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15B517" w14:textId="77777777" w:rsidR="00980737" w:rsidRDefault="00586D9F">
      <w:pPr>
        <w:jc w:val="center"/>
      </w:pPr>
      <w:r>
        <w:rPr>
          <w:noProof/>
        </w:rPr>
        <w:drawing>
          <wp:inline distT="0" distB="0" distL="0" distR="0" wp14:anchorId="1CCA448C" wp14:editId="16B46735">
            <wp:extent cx="2101382" cy="908255"/>
            <wp:effectExtent l="0" t="0" r="0" b="6145"/>
            <wp:docPr id="572052400"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2101382" cy="908255"/>
                    </a:xfrm>
                    <a:prstGeom prst="rect">
                      <a:avLst/>
                    </a:prstGeom>
                    <a:noFill/>
                    <a:ln>
                      <a:noFill/>
                      <a:prstDash/>
                    </a:ln>
                  </pic:spPr>
                </pic:pic>
              </a:graphicData>
            </a:graphic>
          </wp:inline>
        </w:drawing>
      </w:r>
    </w:p>
    <w:p w14:paraId="1D5DDCF3" w14:textId="1921298A" w:rsidR="00586D9F" w:rsidRDefault="00586D9F">
      <w:pPr>
        <w:jc w:val="center"/>
        <w:rPr>
          <w:b/>
          <w:bCs/>
          <w:sz w:val="32"/>
          <w:szCs w:val="32"/>
        </w:rPr>
      </w:pPr>
      <w:r>
        <w:rPr>
          <w:b/>
          <w:bCs/>
          <w:sz w:val="32"/>
          <w:szCs w:val="32"/>
        </w:rPr>
        <w:t>ANNEXE 8 AAP FTJ n° 3</w:t>
      </w:r>
    </w:p>
    <w:p w14:paraId="6DD10EFE" w14:textId="027D5621" w:rsidR="00980737" w:rsidRDefault="00586D9F">
      <w:pPr>
        <w:jc w:val="center"/>
      </w:pPr>
      <w:r>
        <w:rPr>
          <w:b/>
          <w:bCs/>
          <w:sz w:val="32"/>
          <w:szCs w:val="32"/>
        </w:rPr>
        <w:t xml:space="preserve">FICHE OPERATION EN LIEN AVEC </w:t>
      </w:r>
      <w:r>
        <w:rPr>
          <w:b/>
          <w:bCs/>
          <w:caps/>
          <w:sz w:val="32"/>
          <w:szCs w:val="32"/>
        </w:rPr>
        <w:t>la Plateforme de Technologies Stratégiques pour l'Europe</w:t>
      </w:r>
      <w:r>
        <w:rPr>
          <w:b/>
          <w:bCs/>
          <w:sz w:val="32"/>
          <w:szCs w:val="32"/>
        </w:rPr>
        <w:t xml:space="preserve"> (STEP)</w:t>
      </w:r>
    </w:p>
    <w:p w14:paraId="0E9DC0A9" w14:textId="77777777" w:rsidR="00980737" w:rsidRDefault="00980737">
      <w:pPr>
        <w:jc w:val="center"/>
        <w:rPr>
          <w:b/>
          <w:bCs/>
          <w:sz w:val="20"/>
          <w:szCs w:val="20"/>
        </w:rPr>
      </w:pPr>
    </w:p>
    <w:p w14:paraId="54F4D22F" w14:textId="77777777" w:rsidR="00980737" w:rsidRDefault="00586D9F">
      <w:pPr>
        <w:shd w:val="clear" w:color="auto" w:fill="ADADAD"/>
        <w:rPr>
          <w:b/>
          <w:bCs/>
        </w:rPr>
      </w:pPr>
      <w:r>
        <w:rPr>
          <w:b/>
          <w:bCs/>
        </w:rPr>
        <w:t>NOM DE LA STRUCTURE</w:t>
      </w:r>
    </w:p>
    <w:p w14:paraId="4F303728" w14:textId="77777777" w:rsidR="00980737" w:rsidRDefault="00980737"/>
    <w:p w14:paraId="07C0CA75" w14:textId="77777777" w:rsidR="00980737" w:rsidRDefault="00586D9F">
      <w:pPr>
        <w:shd w:val="clear" w:color="auto" w:fill="ADADAD"/>
        <w:rPr>
          <w:b/>
          <w:bCs/>
        </w:rPr>
      </w:pPr>
      <w:r>
        <w:rPr>
          <w:b/>
          <w:bCs/>
        </w:rPr>
        <w:t>PERSONNE REFERENTE</w:t>
      </w:r>
    </w:p>
    <w:p w14:paraId="0A23A494" w14:textId="77777777" w:rsidR="00980737" w:rsidRDefault="00586D9F">
      <w:pPr>
        <w:rPr>
          <w:b/>
          <w:bCs/>
        </w:rPr>
      </w:pPr>
      <w:r>
        <w:rPr>
          <w:b/>
          <w:bCs/>
        </w:rPr>
        <w:t xml:space="preserve">Nom /prénom : </w:t>
      </w:r>
    </w:p>
    <w:p w14:paraId="146D6C7A" w14:textId="77777777" w:rsidR="00980737" w:rsidRDefault="00586D9F">
      <w:pPr>
        <w:rPr>
          <w:b/>
          <w:bCs/>
        </w:rPr>
      </w:pPr>
      <w:r>
        <w:rPr>
          <w:b/>
          <w:bCs/>
        </w:rPr>
        <w:t xml:space="preserve">Téléphone : </w:t>
      </w:r>
    </w:p>
    <w:p w14:paraId="44E74C54" w14:textId="77777777" w:rsidR="00980737" w:rsidRDefault="00586D9F">
      <w:pPr>
        <w:rPr>
          <w:b/>
          <w:bCs/>
        </w:rPr>
      </w:pPr>
      <w:r>
        <w:rPr>
          <w:b/>
          <w:bCs/>
        </w:rPr>
        <w:t>Courriel :</w:t>
      </w:r>
    </w:p>
    <w:p w14:paraId="7867FB58" w14:textId="77777777" w:rsidR="00980737" w:rsidRDefault="00586D9F">
      <w:pPr>
        <w:shd w:val="clear" w:color="auto" w:fill="ADADAD"/>
        <w:rPr>
          <w:b/>
          <w:bCs/>
        </w:rPr>
      </w:pPr>
      <w:r>
        <w:rPr>
          <w:b/>
          <w:bCs/>
        </w:rPr>
        <w:t xml:space="preserve">STATUT JURIDIQUE DE LA STRUCTURE PORTEUSE DE </w:t>
      </w:r>
      <w:r>
        <w:rPr>
          <w:b/>
          <w:bCs/>
        </w:rPr>
        <w:t xml:space="preserve">PROJET </w:t>
      </w:r>
    </w:p>
    <w:p w14:paraId="48224E16" w14:textId="77777777" w:rsidR="00980737" w:rsidRDefault="00980737"/>
    <w:p w14:paraId="671A8A37" w14:textId="77777777" w:rsidR="00980737" w:rsidRDefault="00586D9F">
      <w:pPr>
        <w:shd w:val="clear" w:color="auto" w:fill="ADADAD"/>
        <w:rPr>
          <w:b/>
          <w:bCs/>
        </w:rPr>
      </w:pPr>
      <w:r>
        <w:rPr>
          <w:b/>
          <w:bCs/>
        </w:rPr>
        <w:t>INTITULE DE L’OPERATION</w:t>
      </w:r>
    </w:p>
    <w:p w14:paraId="00355339" w14:textId="77777777" w:rsidR="00980737" w:rsidRDefault="00980737">
      <w:pPr>
        <w:rPr>
          <w:b/>
          <w:bCs/>
        </w:rPr>
      </w:pPr>
    </w:p>
    <w:p w14:paraId="18C6731F" w14:textId="77777777" w:rsidR="00980737" w:rsidRDefault="00586D9F">
      <w:pPr>
        <w:shd w:val="clear" w:color="auto" w:fill="ADADAD"/>
        <w:rPr>
          <w:b/>
          <w:bCs/>
        </w:rPr>
      </w:pPr>
      <w:r>
        <w:rPr>
          <w:b/>
          <w:bCs/>
        </w:rPr>
        <w:t>LIEU DE l’OPERATION</w:t>
      </w:r>
    </w:p>
    <w:p w14:paraId="103B35B2" w14:textId="77777777" w:rsidR="00980737" w:rsidRDefault="00586D9F">
      <w:pPr>
        <w:rPr>
          <w:b/>
          <w:bCs/>
        </w:rPr>
      </w:pPr>
      <w:r>
        <w:rPr>
          <w:b/>
          <w:bCs/>
        </w:rPr>
        <w:t xml:space="preserve">Commune (s) : </w:t>
      </w:r>
    </w:p>
    <w:p w14:paraId="4A87AFCF" w14:textId="77777777" w:rsidR="00980737" w:rsidRDefault="00586D9F">
      <w:pPr>
        <w:shd w:val="clear" w:color="auto" w:fill="ADADAD"/>
        <w:rPr>
          <w:b/>
          <w:bCs/>
        </w:rPr>
      </w:pPr>
      <w:r>
        <w:rPr>
          <w:b/>
          <w:bCs/>
        </w:rPr>
        <w:t>DESCRIPTION DETAILLEE DE L’OPERATION</w:t>
      </w:r>
    </w:p>
    <w:p w14:paraId="5270626F" w14:textId="77777777" w:rsidR="00980737" w:rsidRDefault="00586D9F">
      <w:pPr>
        <w:rPr>
          <w:b/>
          <w:bCs/>
        </w:rPr>
      </w:pPr>
      <w:r>
        <w:rPr>
          <w:b/>
          <w:bCs/>
        </w:rPr>
        <w:t>Objectifs recherchés :</w:t>
      </w:r>
    </w:p>
    <w:p w14:paraId="3C7D1E42" w14:textId="77777777" w:rsidR="00980737" w:rsidRDefault="00586D9F">
      <w:pPr>
        <w:rPr>
          <w:b/>
          <w:bCs/>
        </w:rPr>
      </w:pPr>
      <w:r>
        <w:rPr>
          <w:b/>
          <w:bCs/>
        </w:rPr>
        <w:t>Détail des actions menées :</w:t>
      </w:r>
    </w:p>
    <w:p w14:paraId="26FE8CF7" w14:textId="77777777" w:rsidR="00980737" w:rsidRDefault="00586D9F">
      <w:pPr>
        <w:rPr>
          <w:b/>
          <w:bCs/>
        </w:rPr>
      </w:pPr>
      <w:r>
        <w:rPr>
          <w:b/>
          <w:bCs/>
        </w:rPr>
        <w:t>Résultats attendus (émission de CO2, création d’emplois…) :</w:t>
      </w:r>
    </w:p>
    <w:p w14:paraId="0E72A20C" w14:textId="77777777" w:rsidR="00980737" w:rsidRDefault="00586D9F">
      <w:pPr>
        <w:rPr>
          <w:b/>
          <w:bCs/>
        </w:rPr>
      </w:pPr>
      <w:r>
        <w:rPr>
          <w:b/>
          <w:bCs/>
        </w:rPr>
        <w:t xml:space="preserve">Livrables (nature et </w:t>
      </w:r>
      <w:r>
        <w:rPr>
          <w:b/>
          <w:bCs/>
        </w:rPr>
        <w:t xml:space="preserve">échéance) : </w:t>
      </w:r>
    </w:p>
    <w:p w14:paraId="5EBF5051" w14:textId="77777777" w:rsidR="00980737" w:rsidRDefault="00980737">
      <w:pPr>
        <w:rPr>
          <w:b/>
          <w:bCs/>
        </w:rPr>
      </w:pPr>
    </w:p>
    <w:p w14:paraId="6C7928D6" w14:textId="77777777" w:rsidR="00980737" w:rsidRDefault="00586D9F">
      <w:pPr>
        <w:pStyle w:val="Paragraphedeliste"/>
        <w:numPr>
          <w:ilvl w:val="0"/>
          <w:numId w:val="1"/>
        </w:numPr>
        <w:suppressAutoHyphens w:val="0"/>
        <w:spacing w:after="0" w:line="276" w:lineRule="auto"/>
        <w:jc w:val="both"/>
      </w:pPr>
      <w:r>
        <w:rPr>
          <w:b/>
          <w:bCs/>
        </w:rPr>
        <w:t>Rappel réglementaire : critères d’éligibilité STEP (cf. règlement</w:t>
      </w:r>
      <w:r>
        <w:rPr>
          <w:b/>
          <w:bCs/>
        </w:rPr>
        <w:footnoteReference w:id="1"/>
      </w:r>
      <w:r>
        <w:rPr>
          <w:b/>
          <w:bCs/>
        </w:rPr>
        <w:t xml:space="preserve"> et guidance</w:t>
      </w:r>
      <w:r>
        <w:rPr>
          <w:b/>
          <w:bCs/>
        </w:rPr>
        <w:footnoteReference w:id="2"/>
      </w:r>
      <w:r>
        <w:rPr>
          <w:b/>
          <w:bCs/>
        </w:rPr>
        <w:t xml:space="preserve"> STEP)</w:t>
      </w:r>
    </w:p>
    <w:p w14:paraId="7F208BC8" w14:textId="77777777" w:rsidR="00980737" w:rsidRDefault="00586D9F">
      <w:pPr>
        <w:pStyle w:val="Titre2"/>
      </w:pPr>
      <w:r>
        <w:rPr>
          <w:b/>
          <w:bCs/>
          <w:sz w:val="22"/>
          <w:szCs w:val="22"/>
        </w:rPr>
        <w:t>Secteurs technologiques visés</w:t>
      </w:r>
      <w:r>
        <w:rPr>
          <w:sz w:val="22"/>
          <w:szCs w:val="22"/>
        </w:rPr>
        <w:t xml:space="preserve"> : </w:t>
      </w:r>
    </w:p>
    <w:p w14:paraId="1E9F632E" w14:textId="77777777" w:rsidR="00980737" w:rsidRDefault="00586D9F">
      <w:pPr>
        <w:pStyle w:val="Paragraphedeliste"/>
        <w:ind w:hanging="360"/>
        <w:jc w:val="both"/>
      </w:pPr>
      <w:r>
        <w:t xml:space="preserve">Secteurs principaux : </w:t>
      </w:r>
      <w:bookmarkStart w:id="0" w:name="_Hlk202543501"/>
      <w:r>
        <w:t>technologie propre et économe en ressources (en particulier les technologies zéro-net), technologie numérique et de haute technologie et biotechnologie</w:t>
      </w:r>
    </w:p>
    <w:bookmarkEnd w:id="0"/>
    <w:p w14:paraId="63ACA85C" w14:textId="77777777" w:rsidR="00980737" w:rsidRDefault="00586D9F">
      <w:pPr>
        <w:pStyle w:val="Paragraphedeliste"/>
        <w:ind w:hanging="360"/>
        <w:jc w:val="both"/>
      </w:pPr>
      <w:r>
        <w:t>Sous-secteurs : voir liste indicative dans la guidance STEP</w:t>
      </w:r>
    </w:p>
    <w:p w14:paraId="71C3CAA7" w14:textId="77777777" w:rsidR="00980737" w:rsidRDefault="00586D9F">
      <w:pPr>
        <w:pStyle w:val="Titre2"/>
      </w:pPr>
      <w:r>
        <w:rPr>
          <w:b/>
          <w:bCs/>
          <w:sz w:val="22"/>
          <w:szCs w:val="22"/>
        </w:rPr>
        <w:lastRenderedPageBreak/>
        <w:t>Stade technologique</w:t>
      </w:r>
      <w:r>
        <w:rPr>
          <w:sz w:val="22"/>
          <w:szCs w:val="22"/>
        </w:rPr>
        <w:t xml:space="preserve"> : </w:t>
      </w:r>
    </w:p>
    <w:p w14:paraId="7F4264D2" w14:textId="77777777" w:rsidR="00980737" w:rsidRDefault="00586D9F">
      <w:pPr>
        <w:pStyle w:val="Paragraphedeliste"/>
        <w:ind w:hanging="360"/>
        <w:jc w:val="both"/>
      </w:pPr>
      <w:r>
        <w:t>Développement de la technologie : activités visant à réaliser des percées technologiques, à perfectionner la technologie pour répondre aux besoins du marché, notamment en améliorant son efficience et sa fiabilité, et à mettre au point des normes ; ET/OU</w:t>
      </w:r>
    </w:p>
    <w:p w14:paraId="3122CBBE" w14:textId="77777777" w:rsidR="00980737" w:rsidRDefault="00586D9F">
      <w:pPr>
        <w:pStyle w:val="Paragraphedeliste"/>
        <w:ind w:hanging="360"/>
        <w:jc w:val="both"/>
      </w:pPr>
      <w:r>
        <w:t>Production de la technologie : la mise en place de chaînes de production, la création d’installations pionnières, l’extension ou réaffectation d’installations existantes, le renforcement des processus pour répondre à la demande et/ou la mise en œuvre de mécanismes de contrôle de la qualité pour garantir une production constante de produits de grande qualité ; ET/OU</w:t>
      </w:r>
    </w:p>
    <w:p w14:paraId="1EEF10D1" w14:textId="77777777" w:rsidR="00980737" w:rsidRDefault="00586D9F">
      <w:pPr>
        <w:pStyle w:val="Paragraphedeliste"/>
        <w:ind w:hanging="360"/>
        <w:jc w:val="both"/>
      </w:pPr>
      <w:r>
        <w:t xml:space="preserve">Chaine de valeurs, concerne : </w:t>
      </w:r>
    </w:p>
    <w:p w14:paraId="5464DEC4" w14:textId="77777777" w:rsidR="00980737" w:rsidRDefault="00586D9F">
      <w:pPr>
        <w:pStyle w:val="Paragraphedeliste"/>
        <w:numPr>
          <w:ilvl w:val="1"/>
          <w:numId w:val="2"/>
        </w:numPr>
        <w:suppressAutoHyphens w:val="0"/>
        <w:spacing w:line="276" w:lineRule="auto"/>
        <w:jc w:val="both"/>
      </w:pPr>
      <w:r>
        <w:t xml:space="preserve">Produits finaux </w:t>
      </w:r>
    </w:p>
    <w:p w14:paraId="3CC2F1ED" w14:textId="77777777" w:rsidR="00980737" w:rsidRDefault="00586D9F">
      <w:pPr>
        <w:pStyle w:val="Paragraphedeliste"/>
        <w:numPr>
          <w:ilvl w:val="1"/>
          <w:numId w:val="2"/>
        </w:numPr>
        <w:suppressAutoHyphens w:val="0"/>
        <w:spacing w:line="276" w:lineRule="auto"/>
        <w:jc w:val="both"/>
      </w:pPr>
      <w:r>
        <w:t xml:space="preserve">Composants spécifiques et machines spécifiques </w:t>
      </w:r>
    </w:p>
    <w:p w14:paraId="1DC7DA15" w14:textId="77777777" w:rsidR="00980737" w:rsidRDefault="00586D9F">
      <w:pPr>
        <w:pStyle w:val="Paragraphedeliste"/>
        <w:numPr>
          <w:ilvl w:val="1"/>
          <w:numId w:val="2"/>
        </w:numPr>
        <w:suppressAutoHyphens w:val="0"/>
        <w:spacing w:line="276" w:lineRule="auto"/>
        <w:jc w:val="both"/>
      </w:pPr>
      <w:r>
        <w:t>Matières premières critiques</w:t>
      </w:r>
      <w:r>
        <w:rPr>
          <w:rStyle w:val="Appelnotedebasdep"/>
        </w:rPr>
        <w:footnoteReference w:id="3"/>
      </w:r>
      <w:r>
        <w:t xml:space="preserve"> : importantes pour la production de </w:t>
      </w:r>
      <w:r>
        <w:t xml:space="preserve">technologies critiques relevant de STEP. </w:t>
      </w:r>
    </w:p>
    <w:p w14:paraId="170607F6" w14:textId="77777777" w:rsidR="00980737" w:rsidRDefault="00586D9F">
      <w:pPr>
        <w:pStyle w:val="Paragraphedeliste"/>
        <w:numPr>
          <w:ilvl w:val="1"/>
          <w:numId w:val="2"/>
        </w:numPr>
        <w:suppressAutoHyphens w:val="0"/>
        <w:spacing w:line="276" w:lineRule="auto"/>
        <w:jc w:val="both"/>
      </w:pPr>
      <w:r>
        <w:t xml:space="preserve">Services associés : comprennent les services spécialisés qui sont critiques pour le développement et la production des produits finaux ou spécifiques à ceux-ci.  </w:t>
      </w:r>
    </w:p>
    <w:p w14:paraId="5D6C21E9" w14:textId="77777777" w:rsidR="00980737" w:rsidRDefault="00586D9F">
      <w:pPr>
        <w:pStyle w:val="Titre2"/>
      </w:pPr>
      <w:r>
        <w:rPr>
          <w:b/>
          <w:bCs/>
          <w:sz w:val="22"/>
          <w:szCs w:val="22"/>
        </w:rPr>
        <w:t xml:space="preserve">Criticité de la technologie </w:t>
      </w:r>
      <w:r>
        <w:rPr>
          <w:sz w:val="22"/>
          <w:szCs w:val="22"/>
        </w:rPr>
        <w:t xml:space="preserve">(les 2 critères sont non cumulatifs, il faut pouvoir </w:t>
      </w:r>
      <w:proofErr w:type="gramStart"/>
      <w:r>
        <w:rPr>
          <w:sz w:val="22"/>
          <w:szCs w:val="22"/>
        </w:rPr>
        <w:t>en )</w:t>
      </w:r>
      <w:proofErr w:type="gramEnd"/>
      <w:r>
        <w:rPr>
          <w:sz w:val="22"/>
          <w:szCs w:val="22"/>
        </w:rPr>
        <w:t> :</w:t>
      </w:r>
      <w:r>
        <w:rPr>
          <w:b/>
          <w:bCs/>
          <w:sz w:val="22"/>
          <w:szCs w:val="22"/>
        </w:rPr>
        <w:t xml:space="preserve"> </w:t>
      </w:r>
    </w:p>
    <w:p w14:paraId="185DD4AB" w14:textId="77777777" w:rsidR="00980737" w:rsidRDefault="00586D9F">
      <w:pPr>
        <w:pStyle w:val="Paragraphedeliste"/>
        <w:numPr>
          <w:ilvl w:val="1"/>
          <w:numId w:val="2"/>
        </w:numPr>
        <w:suppressAutoHyphens w:val="0"/>
        <w:spacing w:line="276" w:lineRule="auto"/>
        <w:jc w:val="both"/>
      </w:pPr>
      <w:r>
        <w:rPr>
          <w:b/>
          <w:bCs/>
        </w:rPr>
        <w:t>Caractère innovant</w:t>
      </w:r>
      <w:r>
        <w:t xml:space="preserve"> : élément innovant, émergent et/ou d’avant-garde présentant un potentiel économique important ; </w:t>
      </w:r>
      <w:proofErr w:type="gramStart"/>
      <w:r>
        <w:t>OU</w:t>
      </w:r>
      <w:proofErr w:type="gramEnd"/>
    </w:p>
    <w:p w14:paraId="62B4629C" w14:textId="77777777" w:rsidR="00980737" w:rsidRDefault="00586D9F">
      <w:pPr>
        <w:pStyle w:val="Paragraphedeliste"/>
        <w:numPr>
          <w:ilvl w:val="1"/>
          <w:numId w:val="2"/>
        </w:numPr>
        <w:suppressAutoHyphens w:val="0"/>
        <w:spacing w:line="276" w:lineRule="auto"/>
        <w:jc w:val="both"/>
      </w:pPr>
      <w:r>
        <w:rPr>
          <w:b/>
          <w:bCs/>
        </w:rPr>
        <w:t>Réduction des dépendances stratégiques</w:t>
      </w:r>
      <w:r>
        <w:t xml:space="preserve"> (« il conviendra d’analyser plusieurs des facteurs suivants », cf. guidance STEP) : contribution à la primauté industrielle et technologique de l’Union ; contribution aux infrastructures critiques au niveau européen ; augmentation des capacités de production ; renforcement de la sécurité d’approvisionnement (ex. : relocalisation de la production de médicaments critiques) ; promotion des effets transfrontières positifs sur le marché intérieur. </w:t>
      </w:r>
    </w:p>
    <w:p w14:paraId="3D37E73E" w14:textId="77777777" w:rsidR="00980737" w:rsidRDefault="00980737">
      <w:pPr>
        <w:spacing w:after="0"/>
        <w:jc w:val="both"/>
      </w:pPr>
    </w:p>
    <w:p w14:paraId="24AF16EF" w14:textId="77777777" w:rsidR="00980737" w:rsidRDefault="00586D9F">
      <w:pPr>
        <w:pStyle w:val="Paragraphedeliste"/>
        <w:numPr>
          <w:ilvl w:val="0"/>
          <w:numId w:val="1"/>
        </w:numPr>
        <w:suppressAutoHyphens w:val="0"/>
        <w:spacing w:after="0" w:line="276" w:lineRule="auto"/>
        <w:jc w:val="both"/>
      </w:pPr>
      <w:r>
        <w:rPr>
          <w:b/>
          <w:bCs/>
        </w:rPr>
        <w:t>Argumentaire à compléter par le porteur de projet</w:t>
      </w:r>
    </w:p>
    <w:p w14:paraId="6C0F8765" w14:textId="77777777" w:rsidR="00980737" w:rsidRDefault="00980737">
      <w:pPr>
        <w:pStyle w:val="Paragraphedeliste"/>
        <w:suppressAutoHyphens w:val="0"/>
        <w:spacing w:after="0" w:line="276" w:lineRule="auto"/>
        <w:jc w:val="both"/>
      </w:pPr>
    </w:p>
    <w:p w14:paraId="2ACA0CDA" w14:textId="77777777" w:rsidR="00980737" w:rsidRDefault="00586D9F">
      <w:pPr>
        <w:pStyle w:val="Paragraphedeliste"/>
        <w:numPr>
          <w:ilvl w:val="0"/>
          <w:numId w:val="3"/>
        </w:numPr>
        <w:suppressAutoHyphens w:val="0"/>
        <w:spacing w:line="276" w:lineRule="auto"/>
        <w:jc w:val="both"/>
      </w:pPr>
      <w:r>
        <w:rPr>
          <w:b/>
          <w:bCs/>
          <w:u w:val="single"/>
        </w:rPr>
        <w:t>Le projet doit pouvoir être raccroché à un secteur technologiques visé</w:t>
      </w:r>
    </w:p>
    <w:p w14:paraId="245BD50C" w14:textId="77777777" w:rsidR="00980737" w:rsidRDefault="00586D9F">
      <w:pPr>
        <w:jc w:val="both"/>
      </w:pPr>
      <w:r>
        <w:t xml:space="preserve">Nous avons ciblé le secteur </w:t>
      </w:r>
      <w:r>
        <w:rPr>
          <w:b/>
          <w:bCs/>
        </w:rPr>
        <w:t>Technologie propre et économe en ressources</w:t>
      </w:r>
      <w:r>
        <w:t>. De plus, le projet semble correspondre aux « </w:t>
      </w:r>
      <w:r>
        <w:rPr>
          <w:b/>
          <w:bCs/>
        </w:rPr>
        <w:t>technologies industrielles à des fins de décarbonation</w:t>
      </w:r>
      <w:proofErr w:type="gramStart"/>
      <w:r>
        <w:t> »_</w:t>
      </w:r>
      <w:proofErr w:type="gramEnd"/>
      <w:r>
        <w:t xml:space="preserve"> règlement NZIA (Cf. Tableau 1).  Le tableau 2 est fourni à titre d’information. </w:t>
      </w:r>
    </w:p>
    <w:p w14:paraId="7208FCA1" w14:textId="77777777" w:rsidR="00980737" w:rsidRDefault="00980737">
      <w:pPr>
        <w:contextualSpacing/>
        <w:jc w:val="both"/>
      </w:pPr>
    </w:p>
    <w:p w14:paraId="5DD0B36F" w14:textId="77777777" w:rsidR="00980737" w:rsidRDefault="00980737">
      <w:pPr>
        <w:contextualSpacing/>
        <w:jc w:val="both"/>
      </w:pPr>
    </w:p>
    <w:p w14:paraId="2A808869" w14:textId="77777777" w:rsidR="00980737" w:rsidRDefault="00980737">
      <w:pPr>
        <w:contextualSpacing/>
        <w:jc w:val="both"/>
      </w:pPr>
    </w:p>
    <w:p w14:paraId="1FFDEAE1" w14:textId="77777777" w:rsidR="00980737" w:rsidRDefault="00980737">
      <w:pPr>
        <w:contextualSpacing/>
        <w:jc w:val="both"/>
      </w:pPr>
    </w:p>
    <w:p w14:paraId="6B287F32" w14:textId="77777777" w:rsidR="00980737" w:rsidRDefault="00980737">
      <w:pPr>
        <w:contextualSpacing/>
        <w:jc w:val="both"/>
      </w:pPr>
    </w:p>
    <w:p w14:paraId="0BA4899E" w14:textId="77777777" w:rsidR="00980737" w:rsidRDefault="00980737">
      <w:pPr>
        <w:contextualSpacing/>
        <w:jc w:val="both"/>
      </w:pPr>
    </w:p>
    <w:p w14:paraId="42402DF7" w14:textId="77777777" w:rsidR="00980737" w:rsidRDefault="00980737">
      <w:pPr>
        <w:contextualSpacing/>
        <w:jc w:val="both"/>
      </w:pPr>
    </w:p>
    <w:p w14:paraId="33304615" w14:textId="77777777" w:rsidR="00980737" w:rsidRDefault="00980737">
      <w:pPr>
        <w:contextualSpacing/>
        <w:jc w:val="both"/>
      </w:pPr>
    </w:p>
    <w:p w14:paraId="5DFD55F0" w14:textId="77777777" w:rsidR="00980737" w:rsidRDefault="00980737">
      <w:pPr>
        <w:contextualSpacing/>
        <w:jc w:val="both"/>
      </w:pPr>
    </w:p>
    <w:p w14:paraId="5AD6CEDF" w14:textId="77777777" w:rsidR="00980737" w:rsidRDefault="00586D9F">
      <w:pPr>
        <w:contextualSpacing/>
        <w:jc w:val="both"/>
      </w:pPr>
      <w:r>
        <w:rPr>
          <w:b/>
          <w:bCs/>
          <w:u w:val="single"/>
        </w:rPr>
        <w:lastRenderedPageBreak/>
        <w:t>Tableau 1 : des technologies industrielles de transformation à des fins de décarbonation</w:t>
      </w:r>
      <w:r>
        <w:rPr>
          <w:rStyle w:val="Appelnotedebasdep"/>
          <w:b/>
          <w:bCs/>
          <w:u w:val="single"/>
        </w:rPr>
        <w:footnoteReference w:id="4"/>
      </w:r>
      <w:r>
        <w:t xml:space="preserve"> : </w:t>
      </w:r>
    </w:p>
    <w:p w14:paraId="7DCB366C" w14:textId="77777777" w:rsidR="00980737" w:rsidRDefault="00980737">
      <w:pPr>
        <w:contextualSpacing/>
        <w:jc w:val="both"/>
      </w:pPr>
    </w:p>
    <w:p w14:paraId="77F3BF46" w14:textId="77777777" w:rsidR="00980737" w:rsidRDefault="00980737">
      <w:pPr>
        <w:contextualSpacing/>
        <w:jc w:val="both"/>
      </w:pPr>
    </w:p>
    <w:p w14:paraId="5CFDCBF3" w14:textId="77777777" w:rsidR="00980737" w:rsidRDefault="00586D9F">
      <w:pPr>
        <w:contextualSpacing/>
        <w:jc w:val="both"/>
      </w:pPr>
      <w:r>
        <w:rPr>
          <w:noProof/>
        </w:rPr>
        <w:drawing>
          <wp:inline distT="0" distB="0" distL="0" distR="0" wp14:anchorId="21E82683" wp14:editId="621A234A">
            <wp:extent cx="5760720" cy="3351532"/>
            <wp:effectExtent l="0" t="0" r="0" b="1268"/>
            <wp:docPr id="1172326905" name="Image 1" descr="Une image contenant texte, capture d’écran, Police, nombre&#10;&#10;Le contenu généré par l’IA peut être incorrec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760720" cy="3351532"/>
                    </a:xfrm>
                    <a:prstGeom prst="rect">
                      <a:avLst/>
                    </a:prstGeom>
                    <a:noFill/>
                    <a:ln>
                      <a:noFill/>
                      <a:prstDash/>
                    </a:ln>
                  </pic:spPr>
                </pic:pic>
              </a:graphicData>
            </a:graphic>
          </wp:inline>
        </w:drawing>
      </w:r>
    </w:p>
    <w:p w14:paraId="0F861C4C" w14:textId="77777777" w:rsidR="00980737" w:rsidRDefault="00980737">
      <w:pPr>
        <w:contextualSpacing/>
        <w:jc w:val="both"/>
      </w:pPr>
    </w:p>
    <w:p w14:paraId="26F83C1E" w14:textId="77777777" w:rsidR="00980737" w:rsidRDefault="00980737">
      <w:pPr>
        <w:contextualSpacing/>
        <w:jc w:val="both"/>
      </w:pPr>
    </w:p>
    <w:p w14:paraId="1C2720B2" w14:textId="77777777" w:rsidR="00980737" w:rsidRDefault="00586D9F">
      <w:pPr>
        <w:contextualSpacing/>
        <w:jc w:val="both"/>
      </w:pPr>
      <w:r>
        <w:rPr>
          <w:noProof/>
        </w:rPr>
        <w:drawing>
          <wp:inline distT="0" distB="0" distL="0" distR="0" wp14:anchorId="1FC8B476" wp14:editId="71BFDFE4">
            <wp:extent cx="5760720" cy="3864611"/>
            <wp:effectExtent l="0" t="0" r="0" b="2539"/>
            <wp:docPr id="1687155373" name="Image 1" descr="Une image contenant texte, capture d’écran, Police, nombre&#10;&#10;Le contenu généré par l’IA peut être incorrec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760720" cy="3864611"/>
                    </a:xfrm>
                    <a:prstGeom prst="rect">
                      <a:avLst/>
                    </a:prstGeom>
                    <a:noFill/>
                    <a:ln>
                      <a:noFill/>
                      <a:prstDash/>
                    </a:ln>
                  </pic:spPr>
                </pic:pic>
              </a:graphicData>
            </a:graphic>
          </wp:inline>
        </w:drawing>
      </w:r>
    </w:p>
    <w:p w14:paraId="241DFF51" w14:textId="77777777" w:rsidR="00980737" w:rsidRDefault="00980737">
      <w:pPr>
        <w:contextualSpacing/>
        <w:jc w:val="both"/>
        <w:rPr>
          <w:b/>
          <w:bCs/>
          <w:u w:val="single"/>
        </w:rPr>
      </w:pPr>
    </w:p>
    <w:p w14:paraId="2DD8982D" w14:textId="77777777" w:rsidR="00980737" w:rsidRDefault="00980737">
      <w:pPr>
        <w:contextualSpacing/>
        <w:jc w:val="both"/>
        <w:rPr>
          <w:b/>
          <w:bCs/>
          <w:u w:val="single"/>
        </w:rPr>
      </w:pPr>
    </w:p>
    <w:p w14:paraId="6952B057" w14:textId="77777777" w:rsidR="00980737" w:rsidRDefault="00980737">
      <w:pPr>
        <w:contextualSpacing/>
        <w:jc w:val="both"/>
        <w:rPr>
          <w:b/>
          <w:bCs/>
          <w:u w:val="single"/>
        </w:rPr>
      </w:pPr>
    </w:p>
    <w:p w14:paraId="2443EA13" w14:textId="77777777" w:rsidR="00980737" w:rsidRDefault="00586D9F">
      <w:pPr>
        <w:contextualSpacing/>
        <w:jc w:val="both"/>
      </w:pPr>
      <w:r>
        <w:rPr>
          <w:b/>
          <w:bCs/>
          <w:u w:val="single"/>
        </w:rPr>
        <w:t xml:space="preserve">Tableau 2 : Liste non </w:t>
      </w:r>
      <w:r>
        <w:rPr>
          <w:b/>
          <w:bCs/>
          <w:u w:val="single"/>
        </w:rPr>
        <w:t>exhaustive des technologies propres et économes en ressources présentant un intérêt pour STEP</w:t>
      </w:r>
      <w:r>
        <w:rPr>
          <w:rStyle w:val="Appelnotedebasdep"/>
          <w:b/>
          <w:bCs/>
          <w:u w:val="single"/>
        </w:rPr>
        <w:footnoteReference w:id="5"/>
      </w:r>
    </w:p>
    <w:p w14:paraId="5C77A707" w14:textId="77777777" w:rsidR="00980737" w:rsidRDefault="00980737">
      <w:pPr>
        <w:contextualSpacing/>
        <w:jc w:val="both"/>
      </w:pPr>
    </w:p>
    <w:p w14:paraId="754FA65C" w14:textId="77777777" w:rsidR="00980737" w:rsidRDefault="00586D9F">
      <w:pPr>
        <w:contextualSpacing/>
        <w:jc w:val="both"/>
      </w:pPr>
      <w:r>
        <w:rPr>
          <w:noProof/>
          <w:vertAlign w:val="superscript"/>
        </w:rPr>
        <w:drawing>
          <wp:inline distT="0" distB="0" distL="0" distR="0" wp14:anchorId="68FD238A" wp14:editId="52494CC2">
            <wp:extent cx="5792605" cy="2813956"/>
            <wp:effectExtent l="0" t="0" r="0" b="5444"/>
            <wp:docPr id="401328663" name="Image 1" descr="Une image contenant texte, capture d’écran, Police, nombre&#10;&#10;Le contenu généré par l’IA peut être incorrec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792605" cy="2813956"/>
                    </a:xfrm>
                    <a:prstGeom prst="rect">
                      <a:avLst/>
                    </a:prstGeom>
                    <a:noFill/>
                    <a:ln>
                      <a:noFill/>
                      <a:prstDash/>
                    </a:ln>
                  </pic:spPr>
                </pic:pic>
              </a:graphicData>
            </a:graphic>
          </wp:inline>
        </w:drawing>
      </w:r>
    </w:p>
    <w:p w14:paraId="0BAE0A11" w14:textId="77777777" w:rsidR="00980737" w:rsidRDefault="00980737">
      <w:pPr>
        <w:contextualSpacing/>
        <w:jc w:val="both"/>
        <w:rPr>
          <w:shd w:val="clear" w:color="auto" w:fill="FFFF00"/>
        </w:rPr>
      </w:pPr>
    </w:p>
    <w:p w14:paraId="2EC4DE5B" w14:textId="77777777" w:rsidR="00980737" w:rsidRDefault="00980737">
      <w:pPr>
        <w:suppressAutoHyphens w:val="0"/>
        <w:spacing w:line="276" w:lineRule="auto"/>
        <w:contextualSpacing/>
        <w:jc w:val="both"/>
      </w:pPr>
    </w:p>
    <w:p w14:paraId="51931B08" w14:textId="77777777" w:rsidR="00980737" w:rsidRDefault="00586D9F">
      <w:pPr>
        <w:suppressAutoHyphens w:val="0"/>
        <w:spacing w:line="276" w:lineRule="auto"/>
        <w:contextualSpacing/>
        <w:jc w:val="both"/>
      </w:pPr>
      <w:r>
        <w:t xml:space="preserve">Quelle est la technologie critique ciblée ? </w:t>
      </w:r>
    </w:p>
    <w:p w14:paraId="1380D0CF" w14:textId="77777777" w:rsidR="00980737" w:rsidRDefault="00980737">
      <w:pPr>
        <w:contextualSpacing/>
        <w:jc w:val="both"/>
        <w:rPr>
          <w:shd w:val="clear" w:color="auto" w:fill="FFFF00"/>
        </w:rPr>
      </w:pPr>
    </w:p>
    <w:p w14:paraId="4FD752F1" w14:textId="77777777" w:rsidR="00980737" w:rsidRDefault="00980737">
      <w:pPr>
        <w:contextualSpacing/>
        <w:jc w:val="both"/>
        <w:rPr>
          <w:i/>
          <w:iCs/>
          <w:shd w:val="clear" w:color="auto" w:fill="FFFF00"/>
        </w:rPr>
      </w:pPr>
    </w:p>
    <w:tbl>
      <w:tblPr>
        <w:tblW w:w="9062" w:type="dxa"/>
        <w:tblCellMar>
          <w:left w:w="10" w:type="dxa"/>
          <w:right w:w="10" w:type="dxa"/>
        </w:tblCellMar>
        <w:tblLook w:val="04A0" w:firstRow="1" w:lastRow="0" w:firstColumn="1" w:lastColumn="0" w:noHBand="0" w:noVBand="1"/>
      </w:tblPr>
      <w:tblGrid>
        <w:gridCol w:w="9062"/>
      </w:tblGrid>
      <w:tr w:rsidR="00980737" w14:paraId="2AB049DB" w14:textId="77777777">
        <w:tblPrEx>
          <w:tblCellMar>
            <w:top w:w="0" w:type="dxa"/>
            <w:bottom w:w="0" w:type="dxa"/>
          </w:tblCellMar>
        </w:tblPrEx>
        <w:tc>
          <w:tcPr>
            <w:tcW w:w="9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95B4CE" w14:textId="77777777" w:rsidR="00980737" w:rsidRDefault="00980737">
            <w:pPr>
              <w:spacing w:after="0"/>
              <w:contextualSpacing/>
              <w:jc w:val="both"/>
              <w:rPr>
                <w:i/>
                <w:iCs/>
                <w:shd w:val="clear" w:color="auto" w:fill="FFFF00"/>
              </w:rPr>
            </w:pPr>
            <w:bookmarkStart w:id="1" w:name="_Hlk202544613"/>
          </w:p>
          <w:p w14:paraId="144600BB" w14:textId="77777777" w:rsidR="00980737" w:rsidRDefault="00980737">
            <w:pPr>
              <w:spacing w:after="0"/>
              <w:contextualSpacing/>
              <w:jc w:val="both"/>
              <w:rPr>
                <w:i/>
                <w:iCs/>
                <w:shd w:val="clear" w:color="auto" w:fill="FFFF00"/>
              </w:rPr>
            </w:pPr>
          </w:p>
          <w:p w14:paraId="5C96BAC2" w14:textId="77777777" w:rsidR="00980737" w:rsidRDefault="00586D9F">
            <w:pPr>
              <w:spacing w:after="0"/>
              <w:contextualSpacing/>
              <w:jc w:val="both"/>
              <w:rPr>
                <w:i/>
                <w:iCs/>
              </w:rPr>
            </w:pPr>
            <w:r>
              <w:rPr>
                <w:i/>
                <w:iCs/>
              </w:rPr>
              <w:t>Merci d’argumenter avec le plus de détails possibles concernant les technologies concernées en faisant référence au Règlement NZIA ? :</w:t>
            </w:r>
          </w:p>
          <w:p w14:paraId="1D87807E" w14:textId="77777777" w:rsidR="00980737" w:rsidRDefault="00980737">
            <w:pPr>
              <w:spacing w:after="0"/>
              <w:contextualSpacing/>
              <w:jc w:val="both"/>
              <w:rPr>
                <w:i/>
                <w:iCs/>
                <w:shd w:val="clear" w:color="auto" w:fill="FFFF00"/>
              </w:rPr>
            </w:pPr>
          </w:p>
          <w:p w14:paraId="72591758" w14:textId="77777777" w:rsidR="00980737" w:rsidRDefault="00980737">
            <w:pPr>
              <w:spacing w:after="0"/>
              <w:contextualSpacing/>
              <w:jc w:val="both"/>
              <w:rPr>
                <w:i/>
                <w:iCs/>
                <w:shd w:val="clear" w:color="auto" w:fill="FFFF00"/>
              </w:rPr>
            </w:pPr>
          </w:p>
          <w:p w14:paraId="5EE1864D" w14:textId="77777777" w:rsidR="00980737" w:rsidRDefault="00980737">
            <w:pPr>
              <w:spacing w:after="0"/>
              <w:contextualSpacing/>
              <w:jc w:val="both"/>
              <w:rPr>
                <w:i/>
                <w:iCs/>
                <w:shd w:val="clear" w:color="auto" w:fill="FFFF00"/>
              </w:rPr>
            </w:pPr>
          </w:p>
          <w:p w14:paraId="0CEA1137" w14:textId="77777777" w:rsidR="00980737" w:rsidRDefault="00980737">
            <w:pPr>
              <w:spacing w:after="0"/>
              <w:contextualSpacing/>
              <w:jc w:val="both"/>
              <w:rPr>
                <w:i/>
                <w:iCs/>
                <w:shd w:val="clear" w:color="auto" w:fill="FFFF00"/>
              </w:rPr>
            </w:pPr>
          </w:p>
          <w:p w14:paraId="0AA32B46" w14:textId="77777777" w:rsidR="00980737" w:rsidRDefault="00980737">
            <w:pPr>
              <w:spacing w:after="0"/>
              <w:contextualSpacing/>
              <w:jc w:val="both"/>
              <w:rPr>
                <w:i/>
                <w:iCs/>
                <w:shd w:val="clear" w:color="auto" w:fill="FFFF00"/>
              </w:rPr>
            </w:pPr>
          </w:p>
          <w:p w14:paraId="30BFCA10" w14:textId="77777777" w:rsidR="00980737" w:rsidRDefault="00980737">
            <w:pPr>
              <w:spacing w:after="0"/>
              <w:contextualSpacing/>
              <w:jc w:val="both"/>
              <w:rPr>
                <w:i/>
                <w:iCs/>
                <w:shd w:val="clear" w:color="auto" w:fill="FFFF00"/>
              </w:rPr>
            </w:pPr>
          </w:p>
          <w:p w14:paraId="48B7930A" w14:textId="77777777" w:rsidR="00980737" w:rsidRDefault="00980737">
            <w:pPr>
              <w:spacing w:after="0"/>
              <w:contextualSpacing/>
              <w:jc w:val="both"/>
              <w:rPr>
                <w:i/>
                <w:iCs/>
                <w:shd w:val="clear" w:color="auto" w:fill="FFFF00"/>
              </w:rPr>
            </w:pPr>
          </w:p>
          <w:p w14:paraId="4590CE8F" w14:textId="77777777" w:rsidR="00980737" w:rsidRDefault="00980737">
            <w:pPr>
              <w:spacing w:after="0"/>
              <w:contextualSpacing/>
              <w:jc w:val="both"/>
              <w:rPr>
                <w:i/>
                <w:iCs/>
                <w:shd w:val="clear" w:color="auto" w:fill="FFFF00"/>
              </w:rPr>
            </w:pPr>
          </w:p>
          <w:p w14:paraId="5F511B50" w14:textId="77777777" w:rsidR="00980737" w:rsidRDefault="00980737">
            <w:pPr>
              <w:spacing w:after="0"/>
              <w:contextualSpacing/>
              <w:jc w:val="both"/>
              <w:rPr>
                <w:i/>
                <w:iCs/>
                <w:shd w:val="clear" w:color="auto" w:fill="FFFF00"/>
              </w:rPr>
            </w:pPr>
          </w:p>
          <w:p w14:paraId="4591C453" w14:textId="77777777" w:rsidR="00980737" w:rsidRDefault="00980737">
            <w:pPr>
              <w:spacing w:after="0"/>
              <w:contextualSpacing/>
              <w:jc w:val="both"/>
              <w:rPr>
                <w:i/>
                <w:iCs/>
                <w:shd w:val="clear" w:color="auto" w:fill="FFFF00"/>
              </w:rPr>
            </w:pPr>
          </w:p>
          <w:p w14:paraId="04256C16" w14:textId="77777777" w:rsidR="00980737" w:rsidRDefault="00980737">
            <w:pPr>
              <w:spacing w:after="0"/>
              <w:contextualSpacing/>
              <w:jc w:val="both"/>
              <w:rPr>
                <w:i/>
                <w:iCs/>
                <w:shd w:val="clear" w:color="auto" w:fill="FFFF00"/>
              </w:rPr>
            </w:pPr>
          </w:p>
        </w:tc>
      </w:tr>
      <w:bookmarkEnd w:id="1"/>
    </w:tbl>
    <w:p w14:paraId="480E236F" w14:textId="77777777" w:rsidR="00980737" w:rsidRDefault="00980737">
      <w:pPr>
        <w:contextualSpacing/>
        <w:jc w:val="both"/>
        <w:rPr>
          <w:shd w:val="clear" w:color="auto" w:fill="FFFF00"/>
        </w:rPr>
      </w:pPr>
    </w:p>
    <w:p w14:paraId="61724119" w14:textId="77777777" w:rsidR="00980737" w:rsidRDefault="00586D9F">
      <w:pPr>
        <w:pStyle w:val="Paragraphedeliste"/>
        <w:numPr>
          <w:ilvl w:val="0"/>
          <w:numId w:val="3"/>
        </w:numPr>
        <w:suppressAutoHyphens w:val="0"/>
        <w:spacing w:line="276" w:lineRule="auto"/>
        <w:jc w:val="both"/>
      </w:pPr>
      <w:r>
        <w:rPr>
          <w:b/>
          <w:bCs/>
          <w:u w:val="single"/>
        </w:rPr>
        <w:t xml:space="preserve">Le stade de </w:t>
      </w:r>
      <w:r>
        <w:rPr>
          <w:b/>
          <w:bCs/>
          <w:u w:val="single"/>
        </w:rPr>
        <w:t>développement de la technologie</w:t>
      </w:r>
      <w:r>
        <w:rPr>
          <w:rStyle w:val="Appelnotedebasdep"/>
          <w:b/>
          <w:bCs/>
          <w:u w:val="single"/>
        </w:rPr>
        <w:footnoteReference w:id="6"/>
      </w:r>
      <w:r>
        <w:rPr>
          <w:b/>
          <w:bCs/>
          <w:u w:val="single"/>
        </w:rPr>
        <w:t xml:space="preserve">  </w:t>
      </w:r>
    </w:p>
    <w:p w14:paraId="77384BDF" w14:textId="77777777" w:rsidR="00980737" w:rsidRDefault="00980737">
      <w:pPr>
        <w:pStyle w:val="Paragraphedeliste"/>
        <w:ind w:hanging="360"/>
        <w:jc w:val="both"/>
      </w:pPr>
    </w:p>
    <w:p w14:paraId="45C3AA84" w14:textId="77777777" w:rsidR="00980737" w:rsidRDefault="00586D9F">
      <w:pPr>
        <w:jc w:val="both"/>
      </w:pPr>
      <w:r>
        <w:rPr>
          <w:shd w:val="clear" w:color="auto" w:fill="FFFF00"/>
        </w:rPr>
        <w:lastRenderedPageBreak/>
        <w:t xml:space="preserve">Quel est le </w:t>
      </w:r>
      <w:r>
        <w:rPr>
          <w:shd w:val="clear" w:color="auto" w:fill="FFFF00"/>
        </w:rPr>
        <w:t>stade de développement de la technologie visée par le projet</w:t>
      </w:r>
      <w:r>
        <w:t xml:space="preserve"> ? </w:t>
      </w:r>
    </w:p>
    <w:p w14:paraId="7E715135" w14:textId="77777777" w:rsidR="00980737" w:rsidRDefault="00586D9F">
      <w:pPr>
        <w:jc w:val="both"/>
      </w:pPr>
      <w:r>
        <w:t xml:space="preserve">Développement de la technologie : activités visant à réaliser des percées technologiques, à perfectionner la technologie pour répondre aux besoins du marché, notamment en améliorant son efficience et sa fiabilité, et à mettre au point des normes ; </w:t>
      </w:r>
      <w:proofErr w:type="gramStart"/>
      <w:r>
        <w:t>OU</w:t>
      </w:r>
      <w:proofErr w:type="gramEnd"/>
    </w:p>
    <w:p w14:paraId="5C45547D" w14:textId="77777777" w:rsidR="00980737" w:rsidRDefault="00586D9F">
      <w:pPr>
        <w:jc w:val="both"/>
      </w:pPr>
      <w:r>
        <w:t xml:space="preserve">Production de la technologie : la mise en place de chaînes de production, la création d’installations pionnières, l’extension ou réaffectation d’installations existantes, le renforcement des processus pour répondre à la demande et/ou la mise en œuvre de mécanismes de contrôle de la qualité pour garantir une production constante de produits de grande qualité ; </w:t>
      </w:r>
      <w:proofErr w:type="gramStart"/>
      <w:r>
        <w:t>OU</w:t>
      </w:r>
      <w:proofErr w:type="gramEnd"/>
    </w:p>
    <w:p w14:paraId="6AC73186" w14:textId="77777777" w:rsidR="00980737" w:rsidRDefault="00586D9F">
      <w:pPr>
        <w:jc w:val="both"/>
      </w:pPr>
      <w:r>
        <w:t xml:space="preserve">Chaine de valeurs, concerne : </w:t>
      </w:r>
    </w:p>
    <w:p w14:paraId="76C3D404" w14:textId="77777777" w:rsidR="00980737" w:rsidRDefault="00586D9F">
      <w:pPr>
        <w:pStyle w:val="Paragraphedeliste"/>
        <w:numPr>
          <w:ilvl w:val="1"/>
          <w:numId w:val="2"/>
        </w:numPr>
        <w:suppressAutoHyphens w:val="0"/>
        <w:spacing w:line="276" w:lineRule="auto"/>
        <w:jc w:val="both"/>
      </w:pPr>
      <w:r>
        <w:t xml:space="preserve">Produits finaux </w:t>
      </w:r>
    </w:p>
    <w:p w14:paraId="51A9A4D9" w14:textId="77777777" w:rsidR="00980737" w:rsidRDefault="00586D9F">
      <w:pPr>
        <w:pStyle w:val="Paragraphedeliste"/>
        <w:numPr>
          <w:ilvl w:val="1"/>
          <w:numId w:val="2"/>
        </w:numPr>
        <w:suppressAutoHyphens w:val="0"/>
        <w:spacing w:line="276" w:lineRule="auto"/>
        <w:jc w:val="both"/>
      </w:pPr>
      <w:r>
        <w:t xml:space="preserve">Composants spécifiques et machines spécifiques </w:t>
      </w:r>
    </w:p>
    <w:p w14:paraId="7425FB5C" w14:textId="77777777" w:rsidR="00980737" w:rsidRDefault="00586D9F">
      <w:pPr>
        <w:pStyle w:val="Paragraphedeliste"/>
        <w:numPr>
          <w:ilvl w:val="1"/>
          <w:numId w:val="2"/>
        </w:numPr>
        <w:suppressAutoHyphens w:val="0"/>
        <w:spacing w:line="276" w:lineRule="auto"/>
        <w:jc w:val="both"/>
      </w:pPr>
      <w:r>
        <w:t>Matières premières critiques</w:t>
      </w:r>
      <w:r>
        <w:rPr>
          <w:rStyle w:val="Appelnotedebasdep"/>
        </w:rPr>
        <w:footnoteReference w:id="7"/>
      </w:r>
      <w:r>
        <w:t xml:space="preserve"> : importantes pour la production de technologies critiques relevant de STEP. </w:t>
      </w:r>
    </w:p>
    <w:p w14:paraId="7028F327" w14:textId="77777777" w:rsidR="00980737" w:rsidRDefault="00586D9F">
      <w:pPr>
        <w:pStyle w:val="Paragraphedeliste"/>
        <w:numPr>
          <w:ilvl w:val="1"/>
          <w:numId w:val="2"/>
        </w:numPr>
        <w:suppressAutoHyphens w:val="0"/>
        <w:spacing w:line="276" w:lineRule="auto"/>
        <w:jc w:val="both"/>
      </w:pPr>
      <w:r>
        <w:t xml:space="preserve">Services associés : comprennent les services spécialisés qui sont critiques pour le développement et la production des produits finaux ou spécifiques à ceux-ci.  </w:t>
      </w:r>
    </w:p>
    <w:tbl>
      <w:tblPr>
        <w:tblW w:w="9062" w:type="dxa"/>
        <w:tblCellMar>
          <w:left w:w="10" w:type="dxa"/>
          <w:right w:w="10" w:type="dxa"/>
        </w:tblCellMar>
        <w:tblLook w:val="04A0" w:firstRow="1" w:lastRow="0" w:firstColumn="1" w:lastColumn="0" w:noHBand="0" w:noVBand="1"/>
      </w:tblPr>
      <w:tblGrid>
        <w:gridCol w:w="9062"/>
      </w:tblGrid>
      <w:tr w:rsidR="00980737" w14:paraId="73FBEB1B" w14:textId="77777777">
        <w:tblPrEx>
          <w:tblCellMar>
            <w:top w:w="0" w:type="dxa"/>
            <w:bottom w:w="0" w:type="dxa"/>
          </w:tblCellMar>
        </w:tblPrEx>
        <w:tc>
          <w:tcPr>
            <w:tcW w:w="9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050D63" w14:textId="77777777" w:rsidR="00980737" w:rsidRDefault="00980737">
            <w:pPr>
              <w:spacing w:after="0"/>
              <w:contextualSpacing/>
              <w:jc w:val="both"/>
              <w:rPr>
                <w:i/>
                <w:iCs/>
                <w:shd w:val="clear" w:color="auto" w:fill="FFFF00"/>
              </w:rPr>
            </w:pPr>
          </w:p>
          <w:p w14:paraId="52DF704C" w14:textId="77777777" w:rsidR="00980737" w:rsidRDefault="00980737">
            <w:pPr>
              <w:spacing w:after="0"/>
              <w:contextualSpacing/>
              <w:jc w:val="both"/>
              <w:rPr>
                <w:i/>
                <w:iCs/>
                <w:shd w:val="clear" w:color="auto" w:fill="FFFF00"/>
              </w:rPr>
            </w:pPr>
          </w:p>
          <w:p w14:paraId="60E3EBA6" w14:textId="77777777" w:rsidR="00980737" w:rsidRDefault="00586D9F">
            <w:pPr>
              <w:spacing w:after="0"/>
              <w:contextualSpacing/>
              <w:jc w:val="both"/>
            </w:pPr>
            <w:r>
              <w:rPr>
                <w:i/>
                <w:iCs/>
              </w:rPr>
              <w:t>Merci de développer l’argumentaire proposé :</w:t>
            </w:r>
          </w:p>
          <w:p w14:paraId="22D4298E" w14:textId="77777777" w:rsidR="00980737" w:rsidRDefault="00980737">
            <w:pPr>
              <w:spacing w:after="0"/>
              <w:contextualSpacing/>
              <w:jc w:val="both"/>
              <w:rPr>
                <w:i/>
                <w:iCs/>
                <w:shd w:val="clear" w:color="auto" w:fill="FFFF00"/>
              </w:rPr>
            </w:pPr>
          </w:p>
          <w:p w14:paraId="404AF5CB" w14:textId="77777777" w:rsidR="00980737" w:rsidRDefault="00980737">
            <w:pPr>
              <w:spacing w:after="0"/>
              <w:contextualSpacing/>
              <w:jc w:val="both"/>
              <w:rPr>
                <w:i/>
                <w:iCs/>
                <w:shd w:val="clear" w:color="auto" w:fill="FFFF00"/>
              </w:rPr>
            </w:pPr>
          </w:p>
          <w:p w14:paraId="16C431FC" w14:textId="77777777" w:rsidR="00980737" w:rsidRDefault="00980737">
            <w:pPr>
              <w:spacing w:after="0"/>
              <w:contextualSpacing/>
              <w:jc w:val="both"/>
              <w:rPr>
                <w:i/>
                <w:iCs/>
                <w:shd w:val="clear" w:color="auto" w:fill="FFFF00"/>
              </w:rPr>
            </w:pPr>
          </w:p>
          <w:p w14:paraId="7FBE3DBA" w14:textId="77777777" w:rsidR="00980737" w:rsidRDefault="00980737">
            <w:pPr>
              <w:spacing w:after="0"/>
              <w:contextualSpacing/>
              <w:jc w:val="both"/>
              <w:rPr>
                <w:i/>
                <w:iCs/>
                <w:shd w:val="clear" w:color="auto" w:fill="FFFF00"/>
              </w:rPr>
            </w:pPr>
          </w:p>
          <w:p w14:paraId="4052F6B7" w14:textId="77777777" w:rsidR="00980737" w:rsidRDefault="00980737">
            <w:pPr>
              <w:spacing w:after="0"/>
              <w:contextualSpacing/>
              <w:jc w:val="both"/>
              <w:rPr>
                <w:i/>
                <w:iCs/>
                <w:shd w:val="clear" w:color="auto" w:fill="FFFF00"/>
              </w:rPr>
            </w:pPr>
          </w:p>
          <w:p w14:paraId="49CFA4EB" w14:textId="77777777" w:rsidR="00980737" w:rsidRDefault="00980737">
            <w:pPr>
              <w:spacing w:after="0"/>
              <w:contextualSpacing/>
              <w:jc w:val="both"/>
              <w:rPr>
                <w:i/>
                <w:iCs/>
                <w:shd w:val="clear" w:color="auto" w:fill="FFFF00"/>
              </w:rPr>
            </w:pPr>
          </w:p>
          <w:p w14:paraId="3DF6AE6D" w14:textId="77777777" w:rsidR="00980737" w:rsidRDefault="00980737">
            <w:pPr>
              <w:spacing w:after="0"/>
              <w:contextualSpacing/>
              <w:jc w:val="both"/>
              <w:rPr>
                <w:i/>
                <w:iCs/>
                <w:shd w:val="clear" w:color="auto" w:fill="FFFF00"/>
              </w:rPr>
            </w:pPr>
          </w:p>
          <w:p w14:paraId="3B8E6A62" w14:textId="77777777" w:rsidR="00980737" w:rsidRDefault="00980737">
            <w:pPr>
              <w:spacing w:after="0"/>
              <w:contextualSpacing/>
              <w:jc w:val="both"/>
              <w:rPr>
                <w:i/>
                <w:iCs/>
                <w:shd w:val="clear" w:color="auto" w:fill="FFFF00"/>
              </w:rPr>
            </w:pPr>
          </w:p>
          <w:p w14:paraId="619402D2" w14:textId="77777777" w:rsidR="00980737" w:rsidRDefault="00980737">
            <w:pPr>
              <w:spacing w:after="0"/>
              <w:contextualSpacing/>
              <w:jc w:val="both"/>
              <w:rPr>
                <w:i/>
                <w:iCs/>
                <w:shd w:val="clear" w:color="auto" w:fill="FFFF00"/>
              </w:rPr>
            </w:pPr>
          </w:p>
          <w:p w14:paraId="063D2E99" w14:textId="77777777" w:rsidR="00980737" w:rsidRDefault="00980737">
            <w:pPr>
              <w:spacing w:after="0"/>
              <w:contextualSpacing/>
              <w:jc w:val="both"/>
              <w:rPr>
                <w:i/>
                <w:iCs/>
                <w:shd w:val="clear" w:color="auto" w:fill="FFFF00"/>
              </w:rPr>
            </w:pPr>
          </w:p>
          <w:p w14:paraId="7431642B" w14:textId="77777777" w:rsidR="00980737" w:rsidRDefault="00980737">
            <w:pPr>
              <w:spacing w:after="0"/>
              <w:contextualSpacing/>
              <w:jc w:val="both"/>
              <w:rPr>
                <w:i/>
                <w:iCs/>
                <w:shd w:val="clear" w:color="auto" w:fill="FFFF00"/>
              </w:rPr>
            </w:pPr>
          </w:p>
          <w:p w14:paraId="25DCB57E" w14:textId="77777777" w:rsidR="00980737" w:rsidRDefault="00980737">
            <w:pPr>
              <w:spacing w:after="0"/>
              <w:contextualSpacing/>
              <w:jc w:val="both"/>
              <w:rPr>
                <w:i/>
                <w:iCs/>
                <w:shd w:val="clear" w:color="auto" w:fill="FFFF00"/>
              </w:rPr>
            </w:pPr>
          </w:p>
          <w:p w14:paraId="1F2B5D98" w14:textId="77777777" w:rsidR="00980737" w:rsidRDefault="00980737">
            <w:pPr>
              <w:spacing w:after="0"/>
              <w:contextualSpacing/>
              <w:jc w:val="both"/>
              <w:rPr>
                <w:i/>
                <w:iCs/>
                <w:shd w:val="clear" w:color="auto" w:fill="FFFF00"/>
              </w:rPr>
            </w:pPr>
          </w:p>
          <w:p w14:paraId="5DB25A3F" w14:textId="77777777" w:rsidR="00980737" w:rsidRDefault="00980737">
            <w:pPr>
              <w:spacing w:after="0"/>
              <w:contextualSpacing/>
              <w:jc w:val="both"/>
              <w:rPr>
                <w:i/>
                <w:iCs/>
                <w:shd w:val="clear" w:color="auto" w:fill="FFFF00"/>
              </w:rPr>
            </w:pPr>
          </w:p>
          <w:p w14:paraId="1E3D0E69" w14:textId="77777777" w:rsidR="00980737" w:rsidRDefault="00980737">
            <w:pPr>
              <w:spacing w:after="0"/>
              <w:contextualSpacing/>
              <w:jc w:val="both"/>
              <w:rPr>
                <w:i/>
                <w:iCs/>
                <w:shd w:val="clear" w:color="auto" w:fill="FFFF00"/>
              </w:rPr>
            </w:pPr>
          </w:p>
          <w:p w14:paraId="275E9EB9" w14:textId="77777777" w:rsidR="00980737" w:rsidRDefault="00980737">
            <w:pPr>
              <w:spacing w:after="0"/>
              <w:contextualSpacing/>
              <w:jc w:val="both"/>
              <w:rPr>
                <w:i/>
                <w:iCs/>
                <w:shd w:val="clear" w:color="auto" w:fill="FFFF00"/>
              </w:rPr>
            </w:pPr>
          </w:p>
        </w:tc>
      </w:tr>
    </w:tbl>
    <w:p w14:paraId="22776B17" w14:textId="77777777" w:rsidR="00980737" w:rsidRDefault="00980737">
      <w:pPr>
        <w:suppressAutoHyphens w:val="0"/>
        <w:spacing w:line="276" w:lineRule="auto"/>
        <w:jc w:val="both"/>
        <w:rPr>
          <w:b/>
          <w:bCs/>
        </w:rPr>
      </w:pPr>
    </w:p>
    <w:p w14:paraId="5A5403A2" w14:textId="77777777" w:rsidR="00980737" w:rsidRDefault="00980737">
      <w:pPr>
        <w:suppressAutoHyphens w:val="0"/>
        <w:spacing w:line="276" w:lineRule="auto"/>
        <w:jc w:val="both"/>
        <w:rPr>
          <w:b/>
          <w:bCs/>
        </w:rPr>
      </w:pPr>
    </w:p>
    <w:p w14:paraId="641C331E" w14:textId="77777777" w:rsidR="00980737" w:rsidRDefault="00586D9F">
      <w:pPr>
        <w:pStyle w:val="Paragraphedeliste"/>
        <w:numPr>
          <w:ilvl w:val="0"/>
          <w:numId w:val="3"/>
        </w:numPr>
        <w:suppressAutoHyphens w:val="0"/>
        <w:spacing w:line="276" w:lineRule="auto"/>
        <w:jc w:val="both"/>
      </w:pPr>
      <w:r>
        <w:rPr>
          <w:b/>
          <w:bCs/>
          <w:u w:val="single"/>
        </w:rPr>
        <w:t>Le caractère critique de la technologie visée par le projet</w:t>
      </w:r>
      <w:r>
        <w:rPr>
          <w:rStyle w:val="Appelnotedebasdep"/>
          <w:b/>
          <w:bCs/>
          <w:u w:val="single"/>
        </w:rPr>
        <w:footnoteReference w:id="8"/>
      </w:r>
    </w:p>
    <w:p w14:paraId="28E1FADD" w14:textId="77777777" w:rsidR="00980737" w:rsidRDefault="00980737">
      <w:pPr>
        <w:contextualSpacing/>
        <w:jc w:val="both"/>
        <w:rPr>
          <w:b/>
          <w:bCs/>
        </w:rPr>
      </w:pPr>
    </w:p>
    <w:p w14:paraId="0061B885" w14:textId="77777777" w:rsidR="00980737" w:rsidRDefault="00586D9F">
      <w:pPr>
        <w:contextualSpacing/>
        <w:jc w:val="both"/>
        <w:rPr>
          <w:b/>
          <w:bCs/>
        </w:rPr>
      </w:pPr>
      <w:r>
        <w:rPr>
          <w:b/>
          <w:bCs/>
        </w:rPr>
        <w:t xml:space="preserve">Précisions sur la cadre règlementaire concernant le fait de réduire ou prévenir les dépendances stratégiques : </w:t>
      </w:r>
    </w:p>
    <w:p w14:paraId="3FF07DB0" w14:textId="77777777" w:rsidR="00980737" w:rsidRDefault="00586D9F">
      <w:pPr>
        <w:jc w:val="both"/>
      </w:pPr>
      <w:r>
        <w:lastRenderedPageBreak/>
        <w:t xml:space="preserve">Un certain nombre de dépendances et de vulnérabilités ont été répertoriées dans une série d’évaluations et de feuilles de route réalisées au niveau de l’Union : </w:t>
      </w:r>
    </w:p>
    <w:p w14:paraId="0812ABB3" w14:textId="77777777" w:rsidR="00980737" w:rsidRDefault="00586D9F">
      <w:pPr>
        <w:pStyle w:val="Paragraphedeliste"/>
        <w:numPr>
          <w:ilvl w:val="0"/>
          <w:numId w:val="4"/>
        </w:numPr>
        <w:suppressAutoHyphens w:val="0"/>
        <w:spacing w:line="256" w:lineRule="auto"/>
        <w:jc w:val="both"/>
      </w:pPr>
      <w:r>
        <w:t xml:space="preserve">Dans le cadre de la </w:t>
      </w:r>
      <w:hyperlink r:id="rId11" w:history="1">
        <w:r>
          <w:rPr>
            <w:rStyle w:val="Lienhypertexte"/>
          </w:rPr>
          <w:t>mise à jour de la politique industrielle</w:t>
        </w:r>
      </w:hyperlink>
      <w:r>
        <w:t>, la Commission s’est régulièrement livrée à des exercices d’anticipation et de suivi des dépendances stratégiques de l’Union.</w:t>
      </w:r>
    </w:p>
    <w:p w14:paraId="4F519CF6" w14:textId="77777777" w:rsidR="00980737" w:rsidRDefault="00586D9F">
      <w:pPr>
        <w:pStyle w:val="Paragraphedeliste"/>
        <w:numPr>
          <w:ilvl w:val="0"/>
          <w:numId w:val="4"/>
        </w:numPr>
        <w:suppressAutoHyphens w:val="0"/>
        <w:spacing w:line="256" w:lineRule="auto"/>
        <w:jc w:val="both"/>
      </w:pPr>
      <w:hyperlink r:id="rId12" w:history="1">
        <w:r>
          <w:rPr>
            <w:rStyle w:val="Lienhypertexte"/>
          </w:rPr>
          <w:t xml:space="preserve">Création de l’observatoire des technologies critiques </w:t>
        </w:r>
      </w:hyperlink>
      <w:r>
        <w:t xml:space="preserve"> (industries civiles, spatiales et de la défense)</w:t>
      </w:r>
    </w:p>
    <w:p w14:paraId="08FF6648" w14:textId="77777777" w:rsidR="00980737" w:rsidRDefault="00586D9F">
      <w:pPr>
        <w:pStyle w:val="Paragraphedeliste"/>
        <w:numPr>
          <w:ilvl w:val="0"/>
          <w:numId w:val="4"/>
        </w:numPr>
        <w:suppressAutoHyphens w:val="0"/>
        <w:spacing w:line="256" w:lineRule="auto"/>
        <w:jc w:val="both"/>
      </w:pPr>
      <w:hyperlink r:id="rId13" w:history="1">
        <w:r>
          <w:rPr>
            <w:rStyle w:val="Lienhypertexte"/>
          </w:rPr>
          <w:t>La stratégie européenne en matière de sécurité économique</w:t>
        </w:r>
      </w:hyperlink>
      <w:r>
        <w:t xml:space="preserve"> a recensé plusieurs catégories générales et non exhaustives de risques pour la sécurité économique</w:t>
      </w:r>
    </w:p>
    <w:p w14:paraId="490394A0" w14:textId="77777777" w:rsidR="00980737" w:rsidRDefault="00586D9F">
      <w:pPr>
        <w:pStyle w:val="Paragraphedeliste"/>
        <w:numPr>
          <w:ilvl w:val="0"/>
          <w:numId w:val="4"/>
        </w:numPr>
        <w:suppressAutoHyphens w:val="0"/>
        <w:spacing w:line="256" w:lineRule="auto"/>
        <w:jc w:val="both"/>
      </w:pPr>
      <w:r>
        <w:t xml:space="preserve">À partir de la liste de l’Union des médicaments critiques, la Commission a procédé à une </w:t>
      </w:r>
      <w:hyperlink r:id="rId14" w:history="1">
        <w:r>
          <w:rPr>
            <w:rStyle w:val="Lienhypertexte"/>
          </w:rPr>
          <w:t>première évaluation de la vulnérabilité de onze médicaments</w:t>
        </w:r>
      </w:hyperlink>
      <w:r>
        <w:t xml:space="preserve"> et continuera de remplir son mandat spécifique dans ce domaine.</w:t>
      </w:r>
    </w:p>
    <w:p w14:paraId="29698802" w14:textId="77777777" w:rsidR="00980737" w:rsidRDefault="00586D9F">
      <w:pPr>
        <w:spacing w:after="0"/>
        <w:jc w:val="both"/>
      </w:pPr>
      <w:r>
        <w:t xml:space="preserve">En outre, il peut être conclu à une dépendance stratégique dans les cas où l’Union européenne dépend fortement de sources d’approvisionnement situées dans des pays tiers pour ce qui concerne une technologie visée à l’article 2, paragraphe 1, point a) de STEP. Aux fins du règlement STEP, il conviendra d’analyser plusieurs des facteurs suivants pour déterminer si des technologies réduisent ou préviennent les dépendances stratégiques de l’Union : </w:t>
      </w:r>
    </w:p>
    <w:p w14:paraId="50936BF3" w14:textId="77777777" w:rsidR="00980737" w:rsidRDefault="00980737">
      <w:pPr>
        <w:spacing w:after="0"/>
        <w:jc w:val="both"/>
      </w:pPr>
    </w:p>
    <w:p w14:paraId="42A11E19" w14:textId="77777777" w:rsidR="00980737" w:rsidRDefault="00586D9F">
      <w:pPr>
        <w:pStyle w:val="Paragraphedeliste"/>
        <w:numPr>
          <w:ilvl w:val="0"/>
          <w:numId w:val="4"/>
        </w:numPr>
        <w:suppressAutoHyphens w:val="0"/>
        <w:spacing w:line="256" w:lineRule="auto"/>
        <w:jc w:val="both"/>
      </w:pPr>
      <w:r>
        <w:rPr>
          <w:i/>
          <w:iCs/>
        </w:rPr>
        <w:t>Contribution à la primauté industrielle et technologique de l’Union</w:t>
      </w:r>
      <w:r>
        <w:t xml:space="preserve"> : la primauté industrielle et technologique de l’Union dans les secteurs STEP pertinents, mentionnés dans le paragraphe ci-dessous, conférerait à l’Union un avantage concurrentiel dans le paysage technologique mondial et contribuerait à prévenir les dépendances. </w:t>
      </w:r>
    </w:p>
    <w:p w14:paraId="3A0C703C" w14:textId="77777777" w:rsidR="00980737" w:rsidRDefault="00586D9F">
      <w:pPr>
        <w:pStyle w:val="Paragraphedeliste"/>
        <w:numPr>
          <w:ilvl w:val="0"/>
          <w:numId w:val="4"/>
        </w:numPr>
        <w:suppressAutoHyphens w:val="0"/>
        <w:spacing w:line="256" w:lineRule="auto"/>
        <w:jc w:val="both"/>
      </w:pPr>
      <w:r>
        <w:rPr>
          <w:i/>
          <w:iCs/>
        </w:rPr>
        <w:t>Contribution aux infrastructures critiques au niveau européen</w:t>
      </w:r>
      <w:r>
        <w:t xml:space="preserve"> : un accès illimité aux composants et technologies essentiels permettra le développement et la fabrication des infrastructures critiques de l’Union sans risque de perturbation ou de retard de l’approvisionnement.</w:t>
      </w:r>
    </w:p>
    <w:p w14:paraId="0A3A8EC2" w14:textId="77777777" w:rsidR="00980737" w:rsidRDefault="00586D9F">
      <w:pPr>
        <w:pStyle w:val="Paragraphedeliste"/>
        <w:numPr>
          <w:ilvl w:val="0"/>
          <w:numId w:val="4"/>
        </w:numPr>
        <w:suppressAutoHyphens w:val="0"/>
        <w:spacing w:line="256" w:lineRule="auto"/>
        <w:jc w:val="both"/>
      </w:pPr>
      <w:r>
        <w:rPr>
          <w:i/>
          <w:iCs/>
        </w:rPr>
        <w:t>Augmentation des capacités de production</w:t>
      </w:r>
      <w:r>
        <w:t xml:space="preserve"> : en augmentant les capacités de production de matières premières critiques et de composants essentiels ou de création de chaînes de valeur essentielles sur le territoire européen dans les cas où un risque de dépendance stratégique dans l’Union existe, certains investissements peuvent directement réduire les dépendances à l’égard de sources situées dans des pays tiers, renforçant ainsi l’autosuffisance et la résilience de l’Union. </w:t>
      </w:r>
    </w:p>
    <w:p w14:paraId="03835D9B" w14:textId="77777777" w:rsidR="00980737" w:rsidRDefault="00586D9F">
      <w:pPr>
        <w:pStyle w:val="Paragraphedeliste"/>
        <w:numPr>
          <w:ilvl w:val="0"/>
          <w:numId w:val="4"/>
        </w:numPr>
        <w:suppressAutoHyphens w:val="0"/>
        <w:spacing w:line="256" w:lineRule="auto"/>
        <w:jc w:val="both"/>
      </w:pPr>
      <w:r>
        <w:rPr>
          <w:i/>
          <w:iCs/>
        </w:rPr>
        <w:t>Renforcement de la sécurité de l’approvisionnement</w:t>
      </w:r>
      <w:r>
        <w:t xml:space="preserve"> : le renforcement de la sécurité de l’approvisionnement en intrants, composants et technologies critiques dans l’Union présuppose que l’idée selon laquelle les dépendances doivent être gérées collectivement est largement admise. Une mesure destinée à palier un problème de sécurité de l’approvisionnement au niveau régional renforcera du même coup la capacité de l’Union à remédier efficacement aux ruptures d’approvisionnement et aux vulnérabilités partout sur son territoire. </w:t>
      </w:r>
    </w:p>
    <w:p w14:paraId="61AAAE77" w14:textId="77777777" w:rsidR="00980737" w:rsidRDefault="00586D9F">
      <w:pPr>
        <w:pStyle w:val="Paragraphedeliste"/>
        <w:numPr>
          <w:ilvl w:val="0"/>
          <w:numId w:val="4"/>
        </w:numPr>
        <w:suppressAutoHyphens w:val="0"/>
        <w:spacing w:line="256" w:lineRule="auto"/>
        <w:jc w:val="both"/>
      </w:pPr>
      <w:r>
        <w:rPr>
          <w:i/>
          <w:iCs/>
        </w:rPr>
        <w:t xml:space="preserve">Promotion des effets transfrontières positifs sur le marché </w:t>
      </w:r>
      <w:r>
        <w:rPr>
          <w:i/>
          <w:iCs/>
        </w:rPr>
        <w:t>intérieur</w:t>
      </w:r>
      <w:r>
        <w:t xml:space="preserve"> : le fait de favoriser la coopération et la coordination au sein du marché intérieur peut contribuer à accroître la résilience des chaînes d’approvisionnement industrielles et des secteurs en aval. Cela permettrait également d’assurer des conditions de concurrence équitables, réduisant ainsi les distorsions et renforçant la compétitivité globale. </w:t>
      </w:r>
    </w:p>
    <w:p w14:paraId="6BF3FD0B" w14:textId="77777777" w:rsidR="00980737" w:rsidRDefault="00980737">
      <w:pPr>
        <w:contextualSpacing/>
        <w:jc w:val="both"/>
      </w:pPr>
    </w:p>
    <w:p w14:paraId="0A3F8BD5" w14:textId="77777777" w:rsidR="00980737" w:rsidRDefault="00980737">
      <w:pPr>
        <w:contextualSpacing/>
        <w:jc w:val="both"/>
      </w:pPr>
    </w:p>
    <w:tbl>
      <w:tblPr>
        <w:tblW w:w="9062" w:type="dxa"/>
        <w:tblCellMar>
          <w:left w:w="10" w:type="dxa"/>
          <w:right w:w="10" w:type="dxa"/>
        </w:tblCellMar>
        <w:tblLook w:val="04A0" w:firstRow="1" w:lastRow="0" w:firstColumn="1" w:lastColumn="0" w:noHBand="0" w:noVBand="1"/>
      </w:tblPr>
      <w:tblGrid>
        <w:gridCol w:w="9062"/>
      </w:tblGrid>
      <w:tr w:rsidR="00980737" w14:paraId="49E90B0D" w14:textId="77777777">
        <w:tblPrEx>
          <w:tblCellMar>
            <w:top w:w="0" w:type="dxa"/>
            <w:bottom w:w="0" w:type="dxa"/>
          </w:tblCellMar>
        </w:tblPrEx>
        <w:tc>
          <w:tcPr>
            <w:tcW w:w="9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E40F2B" w14:textId="77777777" w:rsidR="00980737" w:rsidRDefault="00980737">
            <w:pPr>
              <w:spacing w:after="0"/>
              <w:contextualSpacing/>
              <w:jc w:val="both"/>
              <w:rPr>
                <w:i/>
                <w:iCs/>
                <w:shd w:val="clear" w:color="auto" w:fill="FFFF00"/>
              </w:rPr>
            </w:pPr>
          </w:p>
          <w:p w14:paraId="4226C594" w14:textId="77777777" w:rsidR="00980737" w:rsidRDefault="00980737">
            <w:pPr>
              <w:spacing w:after="0"/>
              <w:contextualSpacing/>
              <w:jc w:val="both"/>
              <w:rPr>
                <w:i/>
                <w:iCs/>
                <w:shd w:val="clear" w:color="auto" w:fill="FFFF00"/>
              </w:rPr>
            </w:pPr>
          </w:p>
          <w:p w14:paraId="64769A40" w14:textId="77777777" w:rsidR="00980737" w:rsidRDefault="00980737">
            <w:pPr>
              <w:spacing w:after="0"/>
              <w:contextualSpacing/>
              <w:jc w:val="both"/>
              <w:rPr>
                <w:i/>
                <w:iCs/>
                <w:shd w:val="clear" w:color="auto" w:fill="FFFF00"/>
              </w:rPr>
            </w:pPr>
          </w:p>
          <w:p w14:paraId="35088123" w14:textId="77777777" w:rsidR="00980737" w:rsidRDefault="00586D9F">
            <w:pPr>
              <w:spacing w:after="0"/>
              <w:contextualSpacing/>
              <w:jc w:val="both"/>
            </w:pPr>
            <w:r>
              <w:rPr>
                <w:i/>
                <w:iCs/>
              </w:rPr>
              <w:t>Merci de développer l’argumentaire proposé et se référer à la technologie visée par le projet et non la filière dans sa globalité :</w:t>
            </w:r>
          </w:p>
          <w:p w14:paraId="224EE72B" w14:textId="77777777" w:rsidR="00980737" w:rsidRDefault="00980737">
            <w:pPr>
              <w:spacing w:after="0"/>
              <w:contextualSpacing/>
              <w:jc w:val="both"/>
              <w:rPr>
                <w:i/>
                <w:iCs/>
                <w:shd w:val="clear" w:color="auto" w:fill="FFFF00"/>
              </w:rPr>
            </w:pPr>
          </w:p>
          <w:p w14:paraId="48073317" w14:textId="77777777" w:rsidR="00980737" w:rsidRDefault="00980737">
            <w:pPr>
              <w:spacing w:after="0"/>
              <w:contextualSpacing/>
              <w:jc w:val="both"/>
              <w:rPr>
                <w:i/>
                <w:iCs/>
                <w:shd w:val="clear" w:color="auto" w:fill="FFFF00"/>
              </w:rPr>
            </w:pPr>
          </w:p>
          <w:p w14:paraId="573FC45C" w14:textId="77777777" w:rsidR="00980737" w:rsidRDefault="00980737">
            <w:pPr>
              <w:spacing w:after="0"/>
              <w:contextualSpacing/>
              <w:jc w:val="both"/>
              <w:rPr>
                <w:i/>
                <w:iCs/>
                <w:shd w:val="clear" w:color="auto" w:fill="FFFF00"/>
              </w:rPr>
            </w:pPr>
          </w:p>
          <w:p w14:paraId="445CD071" w14:textId="77777777" w:rsidR="00980737" w:rsidRDefault="00980737">
            <w:pPr>
              <w:spacing w:after="0"/>
              <w:contextualSpacing/>
              <w:jc w:val="both"/>
              <w:rPr>
                <w:i/>
                <w:iCs/>
                <w:shd w:val="clear" w:color="auto" w:fill="FFFF00"/>
              </w:rPr>
            </w:pPr>
          </w:p>
          <w:p w14:paraId="37B562C8" w14:textId="77777777" w:rsidR="00980737" w:rsidRDefault="00980737">
            <w:pPr>
              <w:spacing w:after="0"/>
              <w:contextualSpacing/>
              <w:jc w:val="both"/>
              <w:rPr>
                <w:i/>
                <w:iCs/>
                <w:shd w:val="clear" w:color="auto" w:fill="FFFF00"/>
              </w:rPr>
            </w:pPr>
          </w:p>
          <w:p w14:paraId="449B636E" w14:textId="77777777" w:rsidR="00980737" w:rsidRDefault="00980737">
            <w:pPr>
              <w:spacing w:after="0"/>
              <w:contextualSpacing/>
              <w:jc w:val="both"/>
              <w:rPr>
                <w:i/>
                <w:iCs/>
                <w:shd w:val="clear" w:color="auto" w:fill="FFFF00"/>
              </w:rPr>
            </w:pPr>
          </w:p>
          <w:p w14:paraId="18424576" w14:textId="77777777" w:rsidR="00980737" w:rsidRDefault="00980737">
            <w:pPr>
              <w:spacing w:after="0"/>
              <w:contextualSpacing/>
              <w:jc w:val="both"/>
              <w:rPr>
                <w:i/>
                <w:iCs/>
                <w:shd w:val="clear" w:color="auto" w:fill="FFFF00"/>
              </w:rPr>
            </w:pPr>
          </w:p>
          <w:p w14:paraId="416F72D2" w14:textId="77777777" w:rsidR="00980737" w:rsidRDefault="00980737">
            <w:pPr>
              <w:spacing w:after="0"/>
              <w:contextualSpacing/>
              <w:jc w:val="both"/>
              <w:rPr>
                <w:i/>
                <w:iCs/>
                <w:shd w:val="clear" w:color="auto" w:fill="FFFF00"/>
              </w:rPr>
            </w:pPr>
          </w:p>
          <w:p w14:paraId="6B94A98B" w14:textId="77777777" w:rsidR="00980737" w:rsidRDefault="00980737">
            <w:pPr>
              <w:spacing w:after="0"/>
              <w:contextualSpacing/>
              <w:jc w:val="both"/>
              <w:rPr>
                <w:i/>
                <w:iCs/>
                <w:shd w:val="clear" w:color="auto" w:fill="FFFF00"/>
              </w:rPr>
            </w:pPr>
          </w:p>
          <w:p w14:paraId="41392FBC" w14:textId="77777777" w:rsidR="00980737" w:rsidRDefault="00980737">
            <w:pPr>
              <w:spacing w:after="0"/>
              <w:contextualSpacing/>
              <w:jc w:val="both"/>
              <w:rPr>
                <w:i/>
                <w:iCs/>
                <w:shd w:val="clear" w:color="auto" w:fill="FFFF00"/>
              </w:rPr>
            </w:pPr>
          </w:p>
        </w:tc>
      </w:tr>
    </w:tbl>
    <w:p w14:paraId="0C59BDB4" w14:textId="77777777" w:rsidR="00980737" w:rsidRDefault="00980737">
      <w:pPr>
        <w:contextualSpacing/>
        <w:jc w:val="both"/>
      </w:pPr>
    </w:p>
    <w:p w14:paraId="69CF5CE8" w14:textId="77777777" w:rsidR="00980737" w:rsidRDefault="00980737">
      <w:pPr>
        <w:contextualSpacing/>
        <w:jc w:val="both"/>
      </w:pPr>
    </w:p>
    <w:p w14:paraId="532C2B2A" w14:textId="77777777" w:rsidR="00980737" w:rsidRDefault="00980737">
      <w:pPr>
        <w:jc w:val="both"/>
      </w:pPr>
    </w:p>
    <w:p w14:paraId="6080BFE6" w14:textId="77777777" w:rsidR="00980737" w:rsidRDefault="00586D9F">
      <w:pPr>
        <w:shd w:val="clear" w:color="auto" w:fill="ADADAD"/>
        <w:rPr>
          <w:b/>
          <w:bCs/>
        </w:rPr>
      </w:pPr>
      <w:r>
        <w:rPr>
          <w:b/>
          <w:bCs/>
        </w:rPr>
        <w:t>CALENDRIER OPERATIONNEL</w:t>
      </w:r>
    </w:p>
    <w:p w14:paraId="464ECBFF" w14:textId="77777777" w:rsidR="00980737" w:rsidRDefault="00586D9F">
      <w:pPr>
        <w:rPr>
          <w:b/>
          <w:bCs/>
        </w:rPr>
      </w:pPr>
      <w:r>
        <w:rPr>
          <w:b/>
          <w:bCs/>
        </w:rPr>
        <w:t>Date de démarrage :</w:t>
      </w:r>
    </w:p>
    <w:p w14:paraId="57F4CFA0" w14:textId="77777777" w:rsidR="00980737" w:rsidRDefault="00586D9F">
      <w:pPr>
        <w:rPr>
          <w:b/>
          <w:bCs/>
        </w:rPr>
      </w:pPr>
      <w:r>
        <w:rPr>
          <w:b/>
          <w:bCs/>
        </w:rPr>
        <w:t>Date de fin :</w:t>
      </w:r>
    </w:p>
    <w:p w14:paraId="65CE0CBB" w14:textId="77777777" w:rsidR="00980737" w:rsidRDefault="00980737">
      <w:pPr>
        <w:rPr>
          <w:b/>
          <w:bCs/>
        </w:rPr>
      </w:pPr>
    </w:p>
    <w:p w14:paraId="2CCB5972" w14:textId="77777777" w:rsidR="00980737" w:rsidRDefault="00586D9F">
      <w:pPr>
        <w:shd w:val="clear" w:color="auto" w:fill="ADADAD"/>
        <w:rPr>
          <w:b/>
          <w:bCs/>
        </w:rPr>
      </w:pPr>
      <w:r>
        <w:rPr>
          <w:b/>
          <w:bCs/>
        </w:rPr>
        <w:t>AIDE D’ETAT</w:t>
      </w:r>
    </w:p>
    <w:p w14:paraId="10333964" w14:textId="77777777" w:rsidR="00980737" w:rsidRDefault="00586D9F">
      <w:pPr>
        <w:rPr>
          <w:b/>
          <w:bCs/>
        </w:rPr>
      </w:pPr>
      <w:r>
        <w:rPr>
          <w:b/>
          <w:bCs/>
        </w:rPr>
        <w:t>Régime d’aide exemptée de notification envisagé :</w:t>
      </w:r>
    </w:p>
    <w:p w14:paraId="182D760A" w14:textId="77777777" w:rsidR="00980737" w:rsidRDefault="00980737">
      <w:pPr>
        <w:rPr>
          <w:b/>
          <w:bCs/>
        </w:rPr>
      </w:pPr>
    </w:p>
    <w:p w14:paraId="231626C4" w14:textId="77777777" w:rsidR="00980737" w:rsidRDefault="00586D9F">
      <w:pPr>
        <w:shd w:val="clear" w:color="auto" w:fill="ADADAD"/>
        <w:rPr>
          <w:b/>
          <w:bCs/>
        </w:rPr>
      </w:pPr>
      <w:r>
        <w:rPr>
          <w:b/>
          <w:bCs/>
        </w:rPr>
        <w:t>PLAN DE FINANCEMENT</w:t>
      </w:r>
    </w:p>
    <w:tbl>
      <w:tblPr>
        <w:tblW w:w="9062" w:type="dxa"/>
        <w:tblCellMar>
          <w:left w:w="10" w:type="dxa"/>
          <w:right w:w="10" w:type="dxa"/>
        </w:tblCellMar>
        <w:tblLook w:val="04A0" w:firstRow="1" w:lastRow="0" w:firstColumn="1" w:lastColumn="0" w:noHBand="0" w:noVBand="1"/>
      </w:tblPr>
      <w:tblGrid>
        <w:gridCol w:w="2122"/>
        <w:gridCol w:w="3402"/>
        <w:gridCol w:w="3538"/>
      </w:tblGrid>
      <w:tr w:rsidR="00980737" w14:paraId="7A2B3242" w14:textId="77777777">
        <w:tblPrEx>
          <w:tblCellMar>
            <w:top w:w="0" w:type="dxa"/>
            <w:bottom w:w="0" w:type="dxa"/>
          </w:tblCellMar>
        </w:tblPrEx>
        <w:tc>
          <w:tcPr>
            <w:tcW w:w="9062" w:type="dxa"/>
            <w:gridSpan w:val="3"/>
            <w:tcBorders>
              <w:top w:val="single" w:sz="4" w:space="0" w:color="000000"/>
              <w:left w:val="single" w:sz="4" w:space="0" w:color="000000"/>
              <w:bottom w:val="single" w:sz="4" w:space="0" w:color="000000"/>
              <w:right w:val="single" w:sz="4" w:space="0" w:color="000000"/>
            </w:tcBorders>
            <w:shd w:val="clear" w:color="auto" w:fill="E8E8E8"/>
            <w:tcMar>
              <w:top w:w="0" w:type="dxa"/>
              <w:left w:w="108" w:type="dxa"/>
              <w:bottom w:w="0" w:type="dxa"/>
              <w:right w:w="108" w:type="dxa"/>
            </w:tcMar>
          </w:tcPr>
          <w:p w14:paraId="23D9EB78" w14:textId="77777777" w:rsidR="00980737" w:rsidRDefault="00586D9F">
            <w:pPr>
              <w:spacing w:after="0"/>
              <w:rPr>
                <w:b/>
                <w:bCs/>
              </w:rPr>
            </w:pPr>
            <w:r>
              <w:rPr>
                <w:b/>
                <w:bCs/>
              </w:rPr>
              <w:t>DEPENSES</w:t>
            </w:r>
          </w:p>
        </w:tc>
      </w:tr>
      <w:tr w:rsidR="00980737" w14:paraId="1B20CA83" w14:textId="77777777">
        <w:tblPrEx>
          <w:tblCellMar>
            <w:top w:w="0" w:type="dxa"/>
            <w:bottom w:w="0" w:type="dxa"/>
          </w:tblCellMar>
        </w:tblPrEx>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33FBBF" w14:textId="77777777" w:rsidR="00980737" w:rsidRDefault="00586D9F">
            <w:pPr>
              <w:spacing w:after="0"/>
            </w:pPr>
            <w:r>
              <w:t>Catégorie</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4DAC45" w14:textId="77777777" w:rsidR="00980737" w:rsidRDefault="00586D9F">
            <w:pPr>
              <w:spacing w:after="0"/>
            </w:pPr>
            <w:r>
              <w:t>Libellé</w:t>
            </w:r>
          </w:p>
        </w:tc>
        <w:tc>
          <w:tcPr>
            <w:tcW w:w="3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D6C3C3" w14:textId="77777777" w:rsidR="00980737" w:rsidRDefault="00586D9F">
            <w:pPr>
              <w:spacing w:after="0"/>
            </w:pPr>
            <w:r>
              <w:t>Montant €HT</w:t>
            </w:r>
          </w:p>
        </w:tc>
      </w:tr>
      <w:tr w:rsidR="00980737" w14:paraId="1B9A1E41" w14:textId="77777777">
        <w:tblPrEx>
          <w:tblCellMar>
            <w:top w:w="0" w:type="dxa"/>
            <w:bottom w:w="0" w:type="dxa"/>
          </w:tblCellMar>
        </w:tblPrEx>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05BFAE" w14:textId="77777777" w:rsidR="00980737" w:rsidRDefault="00980737">
            <w:pPr>
              <w:spacing w:after="0"/>
              <w:rPr>
                <w:b/>
                <w:bCs/>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769F9" w14:textId="77777777" w:rsidR="00980737" w:rsidRDefault="00980737">
            <w:pPr>
              <w:spacing w:after="0"/>
              <w:rPr>
                <w:b/>
                <w:bCs/>
              </w:rPr>
            </w:pPr>
          </w:p>
        </w:tc>
        <w:tc>
          <w:tcPr>
            <w:tcW w:w="3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C967A5" w14:textId="77777777" w:rsidR="00980737" w:rsidRDefault="00980737">
            <w:pPr>
              <w:spacing w:after="0"/>
              <w:rPr>
                <w:b/>
                <w:bCs/>
              </w:rPr>
            </w:pPr>
          </w:p>
        </w:tc>
      </w:tr>
      <w:tr w:rsidR="00980737" w14:paraId="7EBD8629" w14:textId="77777777">
        <w:tblPrEx>
          <w:tblCellMar>
            <w:top w:w="0" w:type="dxa"/>
            <w:bottom w:w="0" w:type="dxa"/>
          </w:tblCellMar>
        </w:tblPrEx>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875A17" w14:textId="77777777" w:rsidR="00980737" w:rsidRDefault="00980737">
            <w:pPr>
              <w:spacing w:after="0"/>
              <w:rPr>
                <w:b/>
                <w:bCs/>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97D9DB" w14:textId="77777777" w:rsidR="00980737" w:rsidRDefault="00980737">
            <w:pPr>
              <w:spacing w:after="0"/>
              <w:rPr>
                <w:b/>
                <w:bCs/>
              </w:rPr>
            </w:pPr>
          </w:p>
        </w:tc>
        <w:tc>
          <w:tcPr>
            <w:tcW w:w="3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8D748F" w14:textId="77777777" w:rsidR="00980737" w:rsidRDefault="00980737">
            <w:pPr>
              <w:spacing w:after="0"/>
              <w:rPr>
                <w:b/>
                <w:bCs/>
              </w:rPr>
            </w:pPr>
          </w:p>
        </w:tc>
      </w:tr>
      <w:tr w:rsidR="00980737" w14:paraId="174C8A48" w14:textId="77777777">
        <w:tblPrEx>
          <w:tblCellMar>
            <w:top w:w="0" w:type="dxa"/>
            <w:bottom w:w="0" w:type="dxa"/>
          </w:tblCellMar>
        </w:tblPrEx>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0C888" w14:textId="77777777" w:rsidR="00980737" w:rsidRDefault="00980737">
            <w:pPr>
              <w:spacing w:after="0"/>
              <w:rPr>
                <w:b/>
                <w:bCs/>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A9EA24" w14:textId="77777777" w:rsidR="00980737" w:rsidRDefault="00980737">
            <w:pPr>
              <w:spacing w:after="0"/>
              <w:rPr>
                <w:b/>
                <w:bCs/>
              </w:rPr>
            </w:pPr>
          </w:p>
        </w:tc>
        <w:tc>
          <w:tcPr>
            <w:tcW w:w="3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882DAA" w14:textId="77777777" w:rsidR="00980737" w:rsidRDefault="00980737">
            <w:pPr>
              <w:spacing w:after="0"/>
              <w:rPr>
                <w:b/>
                <w:bCs/>
              </w:rPr>
            </w:pPr>
          </w:p>
        </w:tc>
      </w:tr>
      <w:tr w:rsidR="00980737" w14:paraId="5B40577A" w14:textId="77777777">
        <w:tblPrEx>
          <w:tblCellMar>
            <w:top w:w="0" w:type="dxa"/>
            <w:bottom w:w="0" w:type="dxa"/>
          </w:tblCellMar>
        </w:tblPrEx>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61B67C" w14:textId="77777777" w:rsidR="00980737" w:rsidRDefault="00980737">
            <w:pPr>
              <w:spacing w:after="0"/>
              <w:rPr>
                <w:b/>
                <w:bCs/>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A29414" w14:textId="77777777" w:rsidR="00980737" w:rsidRDefault="00980737">
            <w:pPr>
              <w:spacing w:after="0"/>
              <w:rPr>
                <w:b/>
                <w:bCs/>
              </w:rPr>
            </w:pPr>
          </w:p>
        </w:tc>
        <w:tc>
          <w:tcPr>
            <w:tcW w:w="3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17A5CC" w14:textId="77777777" w:rsidR="00980737" w:rsidRDefault="00980737">
            <w:pPr>
              <w:spacing w:after="0"/>
              <w:rPr>
                <w:b/>
                <w:bCs/>
              </w:rPr>
            </w:pPr>
          </w:p>
        </w:tc>
      </w:tr>
    </w:tbl>
    <w:p w14:paraId="4E68D164" w14:textId="77777777" w:rsidR="00980737" w:rsidRDefault="00980737">
      <w:pPr>
        <w:rPr>
          <w:b/>
          <w:bCs/>
        </w:rPr>
      </w:pPr>
    </w:p>
    <w:tbl>
      <w:tblPr>
        <w:tblW w:w="9062" w:type="dxa"/>
        <w:tblCellMar>
          <w:left w:w="10" w:type="dxa"/>
          <w:right w:w="10" w:type="dxa"/>
        </w:tblCellMar>
        <w:tblLook w:val="04A0" w:firstRow="1" w:lastRow="0" w:firstColumn="1" w:lastColumn="0" w:noHBand="0" w:noVBand="1"/>
      </w:tblPr>
      <w:tblGrid>
        <w:gridCol w:w="2122"/>
        <w:gridCol w:w="3402"/>
        <w:gridCol w:w="3538"/>
      </w:tblGrid>
      <w:tr w:rsidR="00980737" w14:paraId="01488C27" w14:textId="77777777">
        <w:tblPrEx>
          <w:tblCellMar>
            <w:top w:w="0" w:type="dxa"/>
            <w:bottom w:w="0" w:type="dxa"/>
          </w:tblCellMar>
        </w:tblPrEx>
        <w:tc>
          <w:tcPr>
            <w:tcW w:w="5524" w:type="dxa"/>
            <w:gridSpan w:val="2"/>
            <w:tcBorders>
              <w:top w:val="single" w:sz="4" w:space="0" w:color="000000"/>
              <w:left w:val="single" w:sz="4" w:space="0" w:color="000000"/>
              <w:bottom w:val="single" w:sz="4" w:space="0" w:color="000000"/>
              <w:right w:val="single" w:sz="4" w:space="0" w:color="000000"/>
            </w:tcBorders>
            <w:shd w:val="clear" w:color="auto" w:fill="E8E8E8"/>
            <w:tcMar>
              <w:top w:w="0" w:type="dxa"/>
              <w:left w:w="108" w:type="dxa"/>
              <w:bottom w:w="0" w:type="dxa"/>
              <w:right w:w="108" w:type="dxa"/>
            </w:tcMar>
          </w:tcPr>
          <w:p w14:paraId="2635BCA6" w14:textId="77777777" w:rsidR="00980737" w:rsidRDefault="00586D9F">
            <w:pPr>
              <w:spacing w:after="0"/>
              <w:rPr>
                <w:b/>
                <w:bCs/>
              </w:rPr>
            </w:pPr>
            <w:r>
              <w:rPr>
                <w:b/>
                <w:bCs/>
              </w:rPr>
              <w:t>RESSOURCES</w:t>
            </w:r>
          </w:p>
        </w:tc>
        <w:tc>
          <w:tcPr>
            <w:tcW w:w="3538" w:type="dxa"/>
            <w:tcBorders>
              <w:top w:val="single" w:sz="4" w:space="0" w:color="000000"/>
              <w:left w:val="single" w:sz="4" w:space="0" w:color="000000"/>
              <w:bottom w:val="single" w:sz="4" w:space="0" w:color="000000"/>
              <w:right w:val="single" w:sz="4" w:space="0" w:color="000000"/>
            </w:tcBorders>
            <w:shd w:val="clear" w:color="auto" w:fill="E8E8E8"/>
            <w:tcMar>
              <w:top w:w="0" w:type="dxa"/>
              <w:left w:w="10" w:type="dxa"/>
              <w:bottom w:w="0" w:type="dxa"/>
              <w:right w:w="10" w:type="dxa"/>
            </w:tcMar>
          </w:tcPr>
          <w:p w14:paraId="7693058B" w14:textId="77777777" w:rsidR="00980737" w:rsidRDefault="00980737">
            <w:pPr>
              <w:spacing w:after="0"/>
              <w:rPr>
                <w:b/>
                <w:bCs/>
              </w:rPr>
            </w:pPr>
          </w:p>
        </w:tc>
      </w:tr>
      <w:tr w:rsidR="00980737" w14:paraId="7340269F" w14:textId="77777777">
        <w:tblPrEx>
          <w:tblCellMar>
            <w:top w:w="0" w:type="dxa"/>
            <w:bottom w:w="0" w:type="dxa"/>
          </w:tblCellMar>
        </w:tblPrEx>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561F3" w14:textId="77777777" w:rsidR="00980737" w:rsidRDefault="00586D9F">
            <w:pPr>
              <w:spacing w:after="0"/>
            </w:pPr>
            <w:r>
              <w:t>Financeur</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FB8072" w14:textId="77777777" w:rsidR="00980737" w:rsidRDefault="00586D9F">
            <w:pPr>
              <w:spacing w:after="0"/>
            </w:pPr>
            <w:r>
              <w:t xml:space="preserve">Coût total éligible </w:t>
            </w:r>
          </w:p>
        </w:tc>
        <w:tc>
          <w:tcPr>
            <w:tcW w:w="3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C7B5A34" w14:textId="77777777" w:rsidR="00980737" w:rsidRDefault="00586D9F">
            <w:pPr>
              <w:spacing w:after="0"/>
            </w:pPr>
            <w:r>
              <w:t>Montant €</w:t>
            </w:r>
          </w:p>
        </w:tc>
      </w:tr>
      <w:tr w:rsidR="00980737" w14:paraId="38471F58" w14:textId="77777777">
        <w:tblPrEx>
          <w:tblCellMar>
            <w:top w:w="0" w:type="dxa"/>
            <w:bottom w:w="0" w:type="dxa"/>
          </w:tblCellMar>
        </w:tblPrEx>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16A8A1" w14:textId="77777777" w:rsidR="00980737" w:rsidRDefault="00980737">
            <w:pPr>
              <w:spacing w:after="0"/>
              <w:rPr>
                <w:b/>
                <w:bCs/>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5026E5" w14:textId="77777777" w:rsidR="00980737" w:rsidRDefault="00980737">
            <w:pPr>
              <w:spacing w:after="0"/>
              <w:rPr>
                <w:b/>
                <w:bCs/>
              </w:rPr>
            </w:pPr>
          </w:p>
        </w:tc>
        <w:tc>
          <w:tcPr>
            <w:tcW w:w="3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4F0E327" w14:textId="77777777" w:rsidR="00980737" w:rsidRDefault="00980737">
            <w:pPr>
              <w:spacing w:after="0"/>
              <w:rPr>
                <w:b/>
                <w:bCs/>
              </w:rPr>
            </w:pPr>
          </w:p>
        </w:tc>
      </w:tr>
      <w:tr w:rsidR="00980737" w14:paraId="2E2010BB" w14:textId="77777777">
        <w:tblPrEx>
          <w:tblCellMar>
            <w:top w:w="0" w:type="dxa"/>
            <w:bottom w:w="0" w:type="dxa"/>
          </w:tblCellMar>
        </w:tblPrEx>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8A3416" w14:textId="77777777" w:rsidR="00980737" w:rsidRDefault="00980737">
            <w:pPr>
              <w:spacing w:after="0"/>
              <w:rPr>
                <w:b/>
                <w:bCs/>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FCDD8D" w14:textId="77777777" w:rsidR="00980737" w:rsidRDefault="00980737">
            <w:pPr>
              <w:spacing w:after="0"/>
              <w:rPr>
                <w:b/>
                <w:bCs/>
              </w:rPr>
            </w:pPr>
          </w:p>
        </w:tc>
        <w:tc>
          <w:tcPr>
            <w:tcW w:w="3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2CC2E7C" w14:textId="77777777" w:rsidR="00980737" w:rsidRDefault="00980737">
            <w:pPr>
              <w:spacing w:after="0"/>
              <w:rPr>
                <w:b/>
                <w:bCs/>
              </w:rPr>
            </w:pPr>
          </w:p>
        </w:tc>
      </w:tr>
      <w:tr w:rsidR="00980737" w14:paraId="164772C4" w14:textId="77777777">
        <w:tblPrEx>
          <w:tblCellMar>
            <w:top w:w="0" w:type="dxa"/>
            <w:bottom w:w="0" w:type="dxa"/>
          </w:tblCellMar>
        </w:tblPrEx>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EACED" w14:textId="77777777" w:rsidR="00980737" w:rsidRDefault="00980737">
            <w:pPr>
              <w:spacing w:after="0"/>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CD584" w14:textId="77777777" w:rsidR="00980737" w:rsidRDefault="00980737">
            <w:pPr>
              <w:spacing w:after="0"/>
              <w:rPr>
                <w:b/>
                <w:bCs/>
              </w:rPr>
            </w:pPr>
          </w:p>
        </w:tc>
        <w:tc>
          <w:tcPr>
            <w:tcW w:w="3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D88057D" w14:textId="77777777" w:rsidR="00980737" w:rsidRDefault="00980737">
            <w:pPr>
              <w:spacing w:after="0"/>
              <w:rPr>
                <w:b/>
                <w:bCs/>
              </w:rPr>
            </w:pPr>
          </w:p>
        </w:tc>
      </w:tr>
      <w:tr w:rsidR="00980737" w14:paraId="4C47A7FA" w14:textId="77777777">
        <w:tblPrEx>
          <w:tblCellMar>
            <w:top w:w="0" w:type="dxa"/>
            <w:bottom w:w="0" w:type="dxa"/>
          </w:tblCellMar>
        </w:tblPrEx>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0A8179" w14:textId="77777777" w:rsidR="00980737" w:rsidRDefault="00980737">
            <w:pPr>
              <w:spacing w:after="0"/>
              <w:rPr>
                <w:b/>
                <w:bCs/>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15E89C" w14:textId="77777777" w:rsidR="00980737" w:rsidRDefault="00980737">
            <w:pPr>
              <w:spacing w:after="0"/>
              <w:rPr>
                <w:b/>
                <w:bCs/>
              </w:rPr>
            </w:pPr>
          </w:p>
        </w:tc>
        <w:tc>
          <w:tcPr>
            <w:tcW w:w="3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789607E" w14:textId="77777777" w:rsidR="00980737" w:rsidRDefault="00980737">
            <w:pPr>
              <w:spacing w:after="0"/>
              <w:rPr>
                <w:b/>
                <w:bCs/>
              </w:rPr>
            </w:pPr>
          </w:p>
        </w:tc>
      </w:tr>
      <w:tr w:rsidR="00980737" w14:paraId="7637147F" w14:textId="77777777">
        <w:tblPrEx>
          <w:tblCellMar>
            <w:top w:w="0" w:type="dxa"/>
            <w:bottom w:w="0" w:type="dxa"/>
          </w:tblCellMar>
        </w:tblPrEx>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03F25E" w14:textId="77777777" w:rsidR="00980737" w:rsidRDefault="00980737">
            <w:pPr>
              <w:spacing w:after="0"/>
              <w:rPr>
                <w:b/>
                <w:bCs/>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75E41A" w14:textId="77777777" w:rsidR="00980737" w:rsidRDefault="00980737">
            <w:pPr>
              <w:spacing w:after="0"/>
              <w:rPr>
                <w:b/>
                <w:bCs/>
              </w:rPr>
            </w:pPr>
          </w:p>
        </w:tc>
        <w:tc>
          <w:tcPr>
            <w:tcW w:w="3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3BC9F47" w14:textId="77777777" w:rsidR="00980737" w:rsidRDefault="00980737">
            <w:pPr>
              <w:spacing w:after="0"/>
              <w:rPr>
                <w:b/>
                <w:bCs/>
              </w:rPr>
            </w:pPr>
          </w:p>
        </w:tc>
      </w:tr>
    </w:tbl>
    <w:p w14:paraId="3A1A44B2" w14:textId="77777777" w:rsidR="00980737" w:rsidRDefault="00980737">
      <w:pPr>
        <w:rPr>
          <w:b/>
          <w:bCs/>
        </w:rPr>
      </w:pPr>
    </w:p>
    <w:sectPr w:rsidR="00980737">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6B9AFB" w14:textId="77777777" w:rsidR="00586D9F" w:rsidRDefault="00586D9F">
      <w:pPr>
        <w:spacing w:after="0"/>
      </w:pPr>
      <w:r>
        <w:separator/>
      </w:r>
    </w:p>
  </w:endnote>
  <w:endnote w:type="continuationSeparator" w:id="0">
    <w:p w14:paraId="0993A1D3" w14:textId="77777777" w:rsidR="00586D9F" w:rsidRDefault="00586D9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37EF43" w14:textId="77777777" w:rsidR="00586D9F" w:rsidRDefault="00586D9F">
      <w:pPr>
        <w:spacing w:after="0"/>
      </w:pPr>
      <w:r>
        <w:rPr>
          <w:color w:val="000000"/>
        </w:rPr>
        <w:separator/>
      </w:r>
    </w:p>
  </w:footnote>
  <w:footnote w:type="continuationSeparator" w:id="0">
    <w:p w14:paraId="3DB1B2E1" w14:textId="77777777" w:rsidR="00586D9F" w:rsidRDefault="00586D9F">
      <w:pPr>
        <w:spacing w:after="0"/>
      </w:pPr>
      <w:r>
        <w:continuationSeparator/>
      </w:r>
    </w:p>
  </w:footnote>
  <w:footnote w:id="1">
    <w:p w14:paraId="7E304ACA" w14:textId="77777777" w:rsidR="00980737" w:rsidRDefault="00586D9F">
      <w:pPr>
        <w:pStyle w:val="Notedebasdepage"/>
        <w:jc w:val="both"/>
      </w:pPr>
      <w:r>
        <w:rPr>
          <w:rStyle w:val="Appelnotedebasdep"/>
        </w:rPr>
        <w:footnoteRef/>
      </w:r>
      <w:r>
        <w:rPr>
          <w:sz w:val="18"/>
          <w:szCs w:val="18"/>
        </w:rPr>
        <w:t xml:space="preserve"> Règlement (UE) 2024/795 du parlement européen et du conseil du 29 février 2024 ;</w:t>
      </w:r>
    </w:p>
  </w:footnote>
  <w:footnote w:id="2">
    <w:p w14:paraId="1DB216E1" w14:textId="77777777" w:rsidR="00980737" w:rsidRDefault="00586D9F">
      <w:pPr>
        <w:pStyle w:val="Notedebasdepage"/>
        <w:jc w:val="both"/>
      </w:pPr>
      <w:r>
        <w:rPr>
          <w:rStyle w:val="Appelnotedebasdep"/>
        </w:rPr>
        <w:footnoteRef/>
      </w:r>
      <w:r>
        <w:rPr>
          <w:sz w:val="18"/>
          <w:szCs w:val="18"/>
        </w:rPr>
        <w:t xml:space="preserve"> Note d’orientation concernant certaines dispositions du règlement (UE) </w:t>
      </w:r>
      <w:r>
        <w:rPr>
          <w:sz w:val="18"/>
          <w:szCs w:val="18"/>
        </w:rPr>
        <w:t>2024/795 établissant la plateforme « Technologies stratégiques pour l’Europe » (STEP) (C/2024/3209)</w:t>
      </w:r>
    </w:p>
  </w:footnote>
  <w:footnote w:id="3">
    <w:p w14:paraId="54247401" w14:textId="77777777" w:rsidR="00980737" w:rsidRDefault="00586D9F">
      <w:pPr>
        <w:pStyle w:val="Notedebasdepage"/>
      </w:pPr>
      <w:r>
        <w:rPr>
          <w:rStyle w:val="Appelnotedebasdep"/>
        </w:rPr>
        <w:footnoteRef/>
      </w:r>
      <w:r>
        <w:t xml:space="preserve"> </w:t>
      </w:r>
      <w:r>
        <w:rPr>
          <w:sz w:val="18"/>
          <w:szCs w:val="18"/>
        </w:rPr>
        <w:t>Règlement (UE) 2024/1252 du Parlement européen et du Conseil du 11 avril 2024</w:t>
      </w:r>
    </w:p>
  </w:footnote>
  <w:footnote w:id="4">
    <w:p w14:paraId="15832208" w14:textId="77777777" w:rsidR="00980737" w:rsidRDefault="00586D9F">
      <w:pPr>
        <w:pStyle w:val="Notedebasdepage"/>
        <w:jc w:val="both"/>
      </w:pPr>
      <w:r>
        <w:rPr>
          <w:rStyle w:val="Appelnotedebasdep"/>
        </w:rPr>
        <w:footnoteRef/>
      </w:r>
      <w:r>
        <w:rPr>
          <w:sz w:val="18"/>
          <w:szCs w:val="18"/>
        </w:rPr>
        <w:t xml:space="preserve"> RÈGLEMENT D’EXÉCUTION (UE) 2025/1178 DE LA COMMISSION du 23 mai 2025 portant modalités d’application du règlement (UE) 2024/1735 du Parlement </w:t>
      </w:r>
      <w:r>
        <w:rPr>
          <w:sz w:val="18"/>
          <w:szCs w:val="18"/>
        </w:rPr>
        <w:t>européen et du Conseil en ce qui concerne la liste des produits finis de technologies</w:t>
      </w:r>
      <w:proofErr w:type="gramStart"/>
      <w:r>
        <w:rPr>
          <w:sz w:val="18"/>
          <w:szCs w:val="18"/>
        </w:rPr>
        <w:t xml:space="preserve"> «zéro</w:t>
      </w:r>
      <w:proofErr w:type="gramEnd"/>
      <w:r>
        <w:rPr>
          <w:sz w:val="18"/>
          <w:szCs w:val="18"/>
        </w:rPr>
        <w:t xml:space="preserve"> </w:t>
      </w:r>
      <w:proofErr w:type="gramStart"/>
      <w:r>
        <w:rPr>
          <w:sz w:val="18"/>
          <w:szCs w:val="18"/>
        </w:rPr>
        <w:t>net»</w:t>
      </w:r>
      <w:proofErr w:type="gramEnd"/>
      <w:r>
        <w:rPr>
          <w:sz w:val="18"/>
          <w:szCs w:val="18"/>
        </w:rPr>
        <w:t xml:space="preserve"> et de leurs principaux composants spécifiques aux fins de l’évaluation de la contribution à la résilience</w:t>
      </w:r>
    </w:p>
  </w:footnote>
  <w:footnote w:id="5">
    <w:p w14:paraId="62BD5450" w14:textId="77777777" w:rsidR="00980737" w:rsidRDefault="00586D9F">
      <w:pPr>
        <w:pStyle w:val="Notedebasdepage"/>
      </w:pPr>
      <w:r>
        <w:rPr>
          <w:rStyle w:val="Appelnotedebasdep"/>
        </w:rPr>
        <w:footnoteRef/>
      </w:r>
      <w:r>
        <w:rPr>
          <w:sz w:val="18"/>
          <w:szCs w:val="18"/>
        </w:rPr>
        <w:t xml:space="preserve"> OMMUNICATION DE LA COMMISSION Note d’orientation concernant certaines dispositions du règlement (UE) 2024/795 établissant la plateforme</w:t>
      </w:r>
      <w:proofErr w:type="gramStart"/>
      <w:r>
        <w:rPr>
          <w:sz w:val="18"/>
          <w:szCs w:val="18"/>
        </w:rPr>
        <w:t xml:space="preserve"> «Technologies</w:t>
      </w:r>
      <w:proofErr w:type="gramEnd"/>
      <w:r>
        <w:rPr>
          <w:sz w:val="18"/>
          <w:szCs w:val="18"/>
        </w:rPr>
        <w:t xml:space="preserve"> stratégiques pour </w:t>
      </w:r>
      <w:proofErr w:type="gramStart"/>
      <w:r>
        <w:rPr>
          <w:sz w:val="18"/>
          <w:szCs w:val="18"/>
        </w:rPr>
        <w:t>l’Europe»</w:t>
      </w:r>
      <w:proofErr w:type="gramEnd"/>
      <w:r>
        <w:rPr>
          <w:sz w:val="18"/>
          <w:szCs w:val="18"/>
        </w:rPr>
        <w:t xml:space="preserve"> (STEP) (C/2024/3209</w:t>
      </w:r>
    </w:p>
  </w:footnote>
  <w:footnote w:id="6">
    <w:p w14:paraId="14585EE0" w14:textId="77777777" w:rsidR="00980737" w:rsidRDefault="00586D9F">
      <w:pPr>
        <w:pStyle w:val="Notedebasdepage"/>
      </w:pPr>
      <w:r>
        <w:rPr>
          <w:rStyle w:val="Appelnotedebasdep"/>
        </w:rPr>
        <w:footnoteRef/>
      </w:r>
      <w:r>
        <w:rPr>
          <w:sz w:val="18"/>
          <w:szCs w:val="18"/>
        </w:rPr>
        <w:t xml:space="preserve"> COMMUNICATION DE LA COMMISSION Note d’orientation concernant certaines dispositions du règlement (UE) 2024/795 établissant la plateforme</w:t>
      </w:r>
      <w:proofErr w:type="gramStart"/>
      <w:r>
        <w:rPr>
          <w:sz w:val="18"/>
          <w:szCs w:val="18"/>
        </w:rPr>
        <w:t xml:space="preserve"> «Technologies</w:t>
      </w:r>
      <w:proofErr w:type="gramEnd"/>
      <w:r>
        <w:rPr>
          <w:sz w:val="18"/>
          <w:szCs w:val="18"/>
        </w:rPr>
        <w:t xml:space="preserve"> stratégiques pour </w:t>
      </w:r>
      <w:proofErr w:type="gramStart"/>
      <w:r>
        <w:rPr>
          <w:sz w:val="18"/>
          <w:szCs w:val="18"/>
        </w:rPr>
        <w:t>l’Europe»</w:t>
      </w:r>
      <w:proofErr w:type="gramEnd"/>
      <w:r>
        <w:rPr>
          <w:sz w:val="18"/>
          <w:szCs w:val="18"/>
        </w:rPr>
        <w:t xml:space="preserve"> (STEP) (C/2024/3209</w:t>
      </w:r>
    </w:p>
  </w:footnote>
  <w:footnote w:id="7">
    <w:p w14:paraId="1D3C7ABD" w14:textId="77777777" w:rsidR="00980737" w:rsidRDefault="00586D9F">
      <w:pPr>
        <w:pStyle w:val="Notedebasdepage"/>
      </w:pPr>
      <w:r>
        <w:rPr>
          <w:rStyle w:val="Appelnotedebasdep"/>
        </w:rPr>
        <w:footnoteRef/>
      </w:r>
      <w:r>
        <w:t xml:space="preserve"> </w:t>
      </w:r>
      <w:r>
        <w:rPr>
          <w:sz w:val="18"/>
          <w:szCs w:val="18"/>
        </w:rPr>
        <w:t>Règlement (UE) 2024/1252 du Parlement européen et du Conseil du 11 avril 2024</w:t>
      </w:r>
    </w:p>
  </w:footnote>
  <w:footnote w:id="8">
    <w:p w14:paraId="343D6373" w14:textId="77777777" w:rsidR="00980737" w:rsidRDefault="00586D9F">
      <w:pPr>
        <w:pStyle w:val="Notedebasdepage"/>
      </w:pPr>
      <w:r>
        <w:rPr>
          <w:rStyle w:val="Appelnotedebasdep"/>
        </w:rPr>
        <w:footnoteRef/>
      </w:r>
      <w:r>
        <w:rPr>
          <w:sz w:val="18"/>
          <w:szCs w:val="18"/>
        </w:rPr>
        <w:t xml:space="preserve"> </w:t>
      </w:r>
      <w:r>
        <w:rPr>
          <w:sz w:val="18"/>
          <w:szCs w:val="18"/>
        </w:rPr>
        <w:t>OMMUNICATION DE LA COMMISSION Note d’orientation concernant certaines dispositions du règlement (UE) 2024/795 établissant la plateforme</w:t>
      </w:r>
      <w:proofErr w:type="gramStart"/>
      <w:r>
        <w:rPr>
          <w:sz w:val="18"/>
          <w:szCs w:val="18"/>
        </w:rPr>
        <w:t xml:space="preserve"> «Technologies</w:t>
      </w:r>
      <w:proofErr w:type="gramEnd"/>
      <w:r>
        <w:rPr>
          <w:sz w:val="18"/>
          <w:szCs w:val="18"/>
        </w:rPr>
        <w:t xml:space="preserve"> stratégiques pour </w:t>
      </w:r>
      <w:proofErr w:type="gramStart"/>
      <w:r>
        <w:rPr>
          <w:sz w:val="18"/>
          <w:szCs w:val="18"/>
        </w:rPr>
        <w:t>l’Europe»</w:t>
      </w:r>
      <w:proofErr w:type="gramEnd"/>
      <w:r>
        <w:rPr>
          <w:sz w:val="18"/>
          <w:szCs w:val="18"/>
        </w:rPr>
        <w:t xml:space="preserve"> (STEP) (C/2024/3209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3CB2D4D"/>
    <w:multiLevelType w:val="multilevel"/>
    <w:tmpl w:val="2A7A0C52"/>
    <w:lvl w:ilvl="0">
      <w:start w:val="1"/>
      <w:numFmt w:val="lowerLetter"/>
      <w:lvlText w:val="%1."/>
      <w:lvlJc w:val="left"/>
      <w:pPr>
        <w:ind w:left="360" w:hanging="360"/>
      </w:pPr>
    </w:lvl>
    <w:lvl w:ilvl="1">
      <w:numFmt w:val="bullet"/>
      <w:lvlText w:val=""/>
      <w:lvlJc w:val="left"/>
      <w:pPr>
        <w:ind w:left="1080" w:hanging="360"/>
      </w:pPr>
      <w:rPr>
        <w:rFonts w:ascii="Wingdings" w:hAnsi="Wingdings"/>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Wingdings" w:eastAsia="Aptos" w:hAnsi="Wingdings" w:cs="Times New Roman"/>
      </w:rPr>
    </w:lvl>
    <w:lvl w:ilvl="4">
      <w:numFmt w:val="bullet"/>
      <w:lvlText w:val="-"/>
      <w:lvlJc w:val="left"/>
      <w:pPr>
        <w:ind w:left="3240" w:hanging="360"/>
      </w:pPr>
      <w:rPr>
        <w:rFonts w:ascii="Aptos" w:eastAsia="Aptos" w:hAnsi="Aptos" w:cs="Times New Roman"/>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 w15:restartNumberingAfterBreak="0">
    <w:nsid w:val="793E1272"/>
    <w:multiLevelType w:val="multilevel"/>
    <w:tmpl w:val="A744770C"/>
    <w:lvl w:ilvl="0">
      <w:start w:val="1"/>
      <w:numFmt w:val="lowerLetter"/>
      <w:lvlText w:val="%1)"/>
      <w:lvlJc w:val="left"/>
      <w:pPr>
        <w:ind w:left="720" w:hanging="360"/>
      </w:pPr>
      <w:rPr>
        <w:b/>
        <w:bCs/>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2" w15:restartNumberingAfterBreak="0">
    <w:nsid w:val="79795DBC"/>
    <w:multiLevelType w:val="multilevel"/>
    <w:tmpl w:val="A1049446"/>
    <w:lvl w:ilvl="0">
      <w:numFmt w:val="bullet"/>
      <w:lvlText w:val="-"/>
      <w:lvlJc w:val="left"/>
      <w:pPr>
        <w:ind w:left="720" w:hanging="360"/>
      </w:pPr>
      <w:rPr>
        <w:rFonts w:ascii="Calibri" w:eastAsia="Aptos"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7BC576E7"/>
    <w:multiLevelType w:val="multilevel"/>
    <w:tmpl w:val="A8683F20"/>
    <w:lvl w:ilvl="0">
      <w:start w:val="1"/>
      <w:numFmt w:val="decimal"/>
      <w:lvlText w:val="%1-"/>
      <w:lvlJc w:val="left"/>
      <w:pPr>
        <w:ind w:left="720" w:hanging="360"/>
      </w:pPr>
      <w:rPr>
        <w:u w:val="single"/>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num w:numId="1" w16cid:durableId="1157527058">
    <w:abstractNumId w:val="1"/>
  </w:num>
  <w:num w:numId="2" w16cid:durableId="1967003171">
    <w:abstractNumId w:val="0"/>
  </w:num>
  <w:num w:numId="3" w16cid:durableId="91781995">
    <w:abstractNumId w:val="3"/>
  </w:num>
  <w:num w:numId="4" w16cid:durableId="16631965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980737"/>
    <w:rsid w:val="004756DD"/>
    <w:rsid w:val="00586D9F"/>
    <w:rsid w:val="009807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79AE8"/>
  <w15:docId w15:val="{D8047A5A-8277-4ACD-AFE7-093EC986E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Times New Roman"/>
        <w:kern w:val="3"/>
        <w:sz w:val="22"/>
        <w:szCs w:val="22"/>
        <w:lang w:val="fr-FR" w:eastAsia="en-US" w:bidi="ar-SA"/>
      </w:rPr>
    </w:rPrDefault>
    <w:pPrDefault>
      <w:pPr>
        <w:autoSpaceDN w:val="0"/>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Titre1">
    <w:name w:val="heading 1"/>
    <w:basedOn w:val="Normal"/>
    <w:next w:val="Normal"/>
    <w:uiPriority w:val="9"/>
    <w:qFormat/>
    <w:pPr>
      <w:keepNext/>
      <w:keepLines/>
      <w:spacing w:before="360" w:after="80"/>
      <w:outlineLvl w:val="0"/>
    </w:pPr>
    <w:rPr>
      <w:rFonts w:ascii="Aptos Display" w:eastAsia="Times New Roman" w:hAnsi="Aptos Display"/>
      <w:color w:val="0F4761"/>
      <w:sz w:val="40"/>
      <w:szCs w:val="40"/>
    </w:rPr>
  </w:style>
  <w:style w:type="paragraph" w:styleId="Titre2">
    <w:name w:val="heading 2"/>
    <w:basedOn w:val="Normal"/>
    <w:next w:val="Normal"/>
    <w:uiPriority w:val="9"/>
    <w:unhideWhenUsed/>
    <w:qFormat/>
    <w:pPr>
      <w:keepNext/>
      <w:keepLines/>
      <w:spacing w:before="160" w:after="80"/>
      <w:outlineLvl w:val="1"/>
    </w:pPr>
    <w:rPr>
      <w:rFonts w:ascii="Aptos Display" w:eastAsia="Times New Roman" w:hAnsi="Aptos Display"/>
      <w:color w:val="0F4761"/>
      <w:sz w:val="32"/>
      <w:szCs w:val="32"/>
    </w:rPr>
  </w:style>
  <w:style w:type="paragraph" w:styleId="Titre3">
    <w:name w:val="heading 3"/>
    <w:basedOn w:val="Normal"/>
    <w:next w:val="Normal"/>
    <w:uiPriority w:val="9"/>
    <w:semiHidden/>
    <w:unhideWhenUsed/>
    <w:qFormat/>
    <w:pPr>
      <w:keepNext/>
      <w:keepLines/>
      <w:spacing w:before="160" w:after="80"/>
      <w:outlineLvl w:val="2"/>
    </w:pPr>
    <w:rPr>
      <w:rFonts w:eastAsia="Times New Roman"/>
      <w:color w:val="0F4761"/>
      <w:sz w:val="28"/>
      <w:szCs w:val="28"/>
    </w:rPr>
  </w:style>
  <w:style w:type="paragraph" w:styleId="Titre4">
    <w:name w:val="heading 4"/>
    <w:basedOn w:val="Normal"/>
    <w:next w:val="Normal"/>
    <w:uiPriority w:val="9"/>
    <w:semiHidden/>
    <w:unhideWhenUsed/>
    <w:qFormat/>
    <w:pPr>
      <w:keepNext/>
      <w:keepLines/>
      <w:spacing w:before="80" w:after="40"/>
      <w:outlineLvl w:val="3"/>
    </w:pPr>
    <w:rPr>
      <w:rFonts w:eastAsia="Times New Roman"/>
      <w:i/>
      <w:iCs/>
      <w:color w:val="0F4761"/>
    </w:rPr>
  </w:style>
  <w:style w:type="paragraph" w:styleId="Titre5">
    <w:name w:val="heading 5"/>
    <w:basedOn w:val="Normal"/>
    <w:next w:val="Normal"/>
    <w:uiPriority w:val="9"/>
    <w:semiHidden/>
    <w:unhideWhenUsed/>
    <w:qFormat/>
    <w:pPr>
      <w:keepNext/>
      <w:keepLines/>
      <w:spacing w:before="80" w:after="40"/>
      <w:outlineLvl w:val="4"/>
    </w:pPr>
    <w:rPr>
      <w:rFonts w:eastAsia="Times New Roman"/>
      <w:color w:val="0F4761"/>
    </w:rPr>
  </w:style>
  <w:style w:type="paragraph" w:styleId="Titre6">
    <w:name w:val="heading 6"/>
    <w:basedOn w:val="Normal"/>
    <w:next w:val="Normal"/>
    <w:uiPriority w:val="9"/>
    <w:semiHidden/>
    <w:unhideWhenUsed/>
    <w:qFormat/>
    <w:pPr>
      <w:keepNext/>
      <w:keepLines/>
      <w:spacing w:before="40" w:after="0"/>
      <w:outlineLvl w:val="5"/>
    </w:pPr>
    <w:rPr>
      <w:rFonts w:eastAsia="Times New Roman"/>
      <w:i/>
      <w:iCs/>
      <w:color w:val="595959"/>
    </w:rPr>
  </w:style>
  <w:style w:type="paragraph" w:styleId="Titre7">
    <w:name w:val="heading 7"/>
    <w:basedOn w:val="Normal"/>
    <w:next w:val="Normal"/>
    <w:pPr>
      <w:keepNext/>
      <w:keepLines/>
      <w:spacing w:before="40" w:after="0"/>
      <w:outlineLvl w:val="6"/>
    </w:pPr>
    <w:rPr>
      <w:rFonts w:eastAsia="Times New Roman"/>
      <w:color w:val="595959"/>
    </w:rPr>
  </w:style>
  <w:style w:type="paragraph" w:styleId="Titre8">
    <w:name w:val="heading 8"/>
    <w:basedOn w:val="Normal"/>
    <w:next w:val="Normal"/>
    <w:pPr>
      <w:keepNext/>
      <w:keepLines/>
      <w:spacing w:after="0"/>
      <w:outlineLvl w:val="7"/>
    </w:pPr>
    <w:rPr>
      <w:rFonts w:eastAsia="Times New Roman"/>
      <w:i/>
      <w:iCs/>
      <w:color w:val="272727"/>
    </w:rPr>
  </w:style>
  <w:style w:type="paragraph" w:styleId="Titre9">
    <w:name w:val="heading 9"/>
    <w:basedOn w:val="Normal"/>
    <w:next w:val="Normal"/>
    <w:pPr>
      <w:keepNext/>
      <w:keepLines/>
      <w:spacing w:after="0"/>
      <w:outlineLvl w:val="8"/>
    </w:pPr>
    <w:rPr>
      <w:rFonts w:eastAsia="Times New Roman"/>
      <w:color w:val="2727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rPr>
      <w:rFonts w:ascii="Aptos Display" w:eastAsia="Times New Roman" w:hAnsi="Aptos Display" w:cs="Times New Roman"/>
      <w:color w:val="0F4761"/>
      <w:sz w:val="40"/>
      <w:szCs w:val="40"/>
    </w:rPr>
  </w:style>
  <w:style w:type="character" w:customStyle="1" w:styleId="Titre2Car">
    <w:name w:val="Titre 2 Car"/>
    <w:basedOn w:val="Policepardfaut"/>
    <w:rPr>
      <w:rFonts w:ascii="Aptos Display" w:eastAsia="Times New Roman" w:hAnsi="Aptos Display" w:cs="Times New Roman"/>
      <w:color w:val="0F4761"/>
      <w:sz w:val="32"/>
      <w:szCs w:val="32"/>
    </w:rPr>
  </w:style>
  <w:style w:type="character" w:customStyle="1" w:styleId="Titre3Car">
    <w:name w:val="Titre 3 Car"/>
    <w:basedOn w:val="Policepardfaut"/>
    <w:rPr>
      <w:rFonts w:eastAsia="Times New Roman" w:cs="Times New Roman"/>
      <w:color w:val="0F4761"/>
      <w:sz w:val="28"/>
      <w:szCs w:val="28"/>
    </w:rPr>
  </w:style>
  <w:style w:type="character" w:customStyle="1" w:styleId="Titre4Car">
    <w:name w:val="Titre 4 Car"/>
    <w:basedOn w:val="Policepardfaut"/>
    <w:rPr>
      <w:rFonts w:eastAsia="Times New Roman" w:cs="Times New Roman"/>
      <w:i/>
      <w:iCs/>
      <w:color w:val="0F4761"/>
    </w:rPr>
  </w:style>
  <w:style w:type="character" w:customStyle="1" w:styleId="Titre5Car">
    <w:name w:val="Titre 5 Car"/>
    <w:basedOn w:val="Policepardfaut"/>
    <w:rPr>
      <w:rFonts w:eastAsia="Times New Roman" w:cs="Times New Roman"/>
      <w:color w:val="0F4761"/>
    </w:rPr>
  </w:style>
  <w:style w:type="character" w:customStyle="1" w:styleId="Titre6Car">
    <w:name w:val="Titre 6 Car"/>
    <w:basedOn w:val="Policepardfaut"/>
    <w:rPr>
      <w:rFonts w:eastAsia="Times New Roman" w:cs="Times New Roman"/>
      <w:i/>
      <w:iCs/>
      <w:color w:val="595959"/>
    </w:rPr>
  </w:style>
  <w:style w:type="character" w:customStyle="1" w:styleId="Titre7Car">
    <w:name w:val="Titre 7 Car"/>
    <w:basedOn w:val="Policepardfaut"/>
    <w:rPr>
      <w:rFonts w:eastAsia="Times New Roman" w:cs="Times New Roman"/>
      <w:color w:val="595959"/>
    </w:rPr>
  </w:style>
  <w:style w:type="character" w:customStyle="1" w:styleId="Titre8Car">
    <w:name w:val="Titre 8 Car"/>
    <w:basedOn w:val="Policepardfaut"/>
    <w:rPr>
      <w:rFonts w:eastAsia="Times New Roman" w:cs="Times New Roman"/>
      <w:i/>
      <w:iCs/>
      <w:color w:val="272727"/>
    </w:rPr>
  </w:style>
  <w:style w:type="character" w:customStyle="1" w:styleId="Titre9Car">
    <w:name w:val="Titre 9 Car"/>
    <w:basedOn w:val="Policepardfaut"/>
    <w:rPr>
      <w:rFonts w:eastAsia="Times New Roman" w:cs="Times New Roman"/>
      <w:color w:val="272727"/>
    </w:rPr>
  </w:style>
  <w:style w:type="paragraph" w:styleId="Titre">
    <w:name w:val="Title"/>
    <w:basedOn w:val="Normal"/>
    <w:next w:val="Normal"/>
    <w:uiPriority w:val="10"/>
    <w:qFormat/>
    <w:pPr>
      <w:spacing w:after="80"/>
      <w:contextualSpacing/>
    </w:pPr>
    <w:rPr>
      <w:rFonts w:ascii="Aptos Display" w:eastAsia="Times New Roman" w:hAnsi="Aptos Display"/>
      <w:spacing w:val="-10"/>
      <w:sz w:val="56"/>
      <w:szCs w:val="56"/>
    </w:rPr>
  </w:style>
  <w:style w:type="character" w:customStyle="1" w:styleId="TitreCar">
    <w:name w:val="Titre Car"/>
    <w:basedOn w:val="Policepardfaut"/>
    <w:rPr>
      <w:rFonts w:ascii="Aptos Display" w:eastAsia="Times New Roman" w:hAnsi="Aptos Display" w:cs="Times New Roman"/>
      <w:spacing w:val="-10"/>
      <w:kern w:val="3"/>
      <w:sz w:val="56"/>
      <w:szCs w:val="56"/>
    </w:rPr>
  </w:style>
  <w:style w:type="paragraph" w:styleId="Sous-titre">
    <w:name w:val="Subtitle"/>
    <w:basedOn w:val="Normal"/>
    <w:next w:val="Normal"/>
    <w:uiPriority w:val="11"/>
    <w:qFormat/>
    <w:rPr>
      <w:rFonts w:eastAsia="Times New Roman"/>
      <w:color w:val="595959"/>
      <w:spacing w:val="15"/>
      <w:sz w:val="28"/>
      <w:szCs w:val="28"/>
    </w:rPr>
  </w:style>
  <w:style w:type="character" w:customStyle="1" w:styleId="Sous-titreCar">
    <w:name w:val="Sous-titre Car"/>
    <w:basedOn w:val="Policepardfaut"/>
    <w:rPr>
      <w:rFonts w:eastAsia="Times New Roman" w:cs="Times New Roman"/>
      <w:color w:val="595959"/>
      <w:spacing w:val="15"/>
      <w:sz w:val="28"/>
      <w:szCs w:val="28"/>
    </w:rPr>
  </w:style>
  <w:style w:type="paragraph" w:styleId="Citation">
    <w:name w:val="Quote"/>
    <w:basedOn w:val="Normal"/>
    <w:next w:val="Normal"/>
    <w:pPr>
      <w:spacing w:before="160"/>
      <w:jc w:val="center"/>
    </w:pPr>
    <w:rPr>
      <w:i/>
      <w:iCs/>
      <w:color w:val="404040"/>
    </w:rPr>
  </w:style>
  <w:style w:type="character" w:customStyle="1" w:styleId="CitationCar">
    <w:name w:val="Citation Car"/>
    <w:basedOn w:val="Policepardfaut"/>
    <w:rPr>
      <w:i/>
      <w:iCs/>
      <w:color w:val="404040"/>
    </w:rPr>
  </w:style>
  <w:style w:type="paragraph" w:styleId="Paragraphedeliste">
    <w:name w:val="List Paragraph"/>
    <w:basedOn w:val="Normal"/>
    <w:pPr>
      <w:ind w:left="720"/>
      <w:contextualSpacing/>
    </w:pPr>
  </w:style>
  <w:style w:type="character" w:styleId="Accentuationintense">
    <w:name w:val="Intense Emphasis"/>
    <w:basedOn w:val="Policepardfaut"/>
    <w:rPr>
      <w:i/>
      <w:iCs/>
      <w:color w:val="0F4761"/>
    </w:rPr>
  </w:style>
  <w:style w:type="paragraph" w:styleId="Citationintense">
    <w:name w:val="Intense Quote"/>
    <w:basedOn w:val="Normal"/>
    <w:next w:val="Normal"/>
    <w:pPr>
      <w:pBdr>
        <w:top w:val="single" w:sz="4" w:space="10" w:color="0F4761"/>
        <w:bottom w:val="single" w:sz="4" w:space="10" w:color="0F4761"/>
      </w:pBdr>
      <w:spacing w:before="360" w:after="360"/>
      <w:ind w:left="864" w:right="864"/>
      <w:jc w:val="center"/>
    </w:pPr>
    <w:rPr>
      <w:i/>
      <w:iCs/>
      <w:color w:val="0F4761"/>
    </w:rPr>
  </w:style>
  <w:style w:type="character" w:customStyle="1" w:styleId="CitationintenseCar">
    <w:name w:val="Citation intense Car"/>
    <w:basedOn w:val="Policepardfaut"/>
    <w:rPr>
      <w:i/>
      <w:iCs/>
      <w:color w:val="0F4761"/>
    </w:rPr>
  </w:style>
  <w:style w:type="character" w:styleId="Rfrenceintense">
    <w:name w:val="Intense Reference"/>
    <w:basedOn w:val="Policepardfaut"/>
    <w:rPr>
      <w:b/>
      <w:bCs/>
      <w:smallCaps/>
      <w:color w:val="0F4761"/>
      <w:spacing w:val="5"/>
    </w:rPr>
  </w:style>
  <w:style w:type="paragraph" w:styleId="Notedebasdepage">
    <w:name w:val="footnote text"/>
    <w:basedOn w:val="Normal"/>
    <w:pPr>
      <w:suppressAutoHyphens w:val="0"/>
      <w:spacing w:after="0"/>
    </w:pPr>
    <w:rPr>
      <w:sz w:val="20"/>
      <w:szCs w:val="20"/>
    </w:rPr>
  </w:style>
  <w:style w:type="character" w:customStyle="1" w:styleId="NotedebasdepageCar">
    <w:name w:val="Note de bas de page Car"/>
    <w:basedOn w:val="Policepardfaut"/>
    <w:rPr>
      <w:rFonts w:ascii="Aptos" w:eastAsia="Aptos" w:hAnsi="Aptos" w:cs="Times New Roman"/>
      <w:kern w:val="3"/>
      <w:sz w:val="20"/>
      <w:szCs w:val="20"/>
    </w:rPr>
  </w:style>
  <w:style w:type="character" w:styleId="Appelnotedebasdep">
    <w:name w:val="footnote reference"/>
    <w:basedOn w:val="Policepardfaut"/>
    <w:rPr>
      <w:position w:val="0"/>
      <w:vertAlign w:val="superscript"/>
    </w:rPr>
  </w:style>
  <w:style w:type="character" w:styleId="Lienhypertexte">
    <w:name w:val="Hyperlink"/>
    <w:basedOn w:val="Policepardfaut"/>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eur-lex.europa.eu/legal-content/fr/TXT/?uri=CELEX:52023JC0020"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s://commission.europa.eu/strategy-and-policy/priorities-2019-2024/europe-fit-digital-age/stronger-european-defence_f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ur-lex.europa.eu/legal-content/FR/TXT/?uri=CELEX:52021DC0350&amp;qid=1715079955119"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ww.ema.europa.eu/en/news/first-version-union-list-critical-medicines-%20agreed-help-avoid-potential-shortages-e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1372</Words>
  <Characters>7546</Characters>
  <Application>Microsoft Office Word</Application>
  <DocSecurity>4</DocSecurity>
  <Lines>62</Lines>
  <Paragraphs>17</Paragraphs>
  <ScaleCrop>false</ScaleCrop>
  <Company/>
  <LinksUpToDate>false</LinksUpToDate>
  <CharactersWithSpaces>8901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GARIDOU Elodie</dc:creator>
  <dc:description/>
  <cp:lastModifiedBy>VITALI Delphine</cp:lastModifiedBy>
  <cp:revision>2</cp:revision>
  <dcterms:created xsi:type="dcterms:W3CDTF">2025-07-22T15:23:00Z</dcterms:created>
  <dcterms:modified xsi:type="dcterms:W3CDTF">2025-07-22T15:23:00Z</dcterms:modified>
</cp:coreProperties>
</file>